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4D1CD" w14:textId="11224AF5" w:rsidR="001C2200" w:rsidRDefault="00CF2DD3">
      <w:pPr>
        <w:pStyle w:val="Titel"/>
        <w:spacing w:before="240" w:after="240" w:line="240" w:lineRule="exact"/>
        <w:outlineLvl w:val="0"/>
        <w:rPr>
          <w:b/>
          <w:bCs/>
          <w:sz w:val="22"/>
          <w:szCs w:val="22"/>
          <w:u w:val="single"/>
          <w:lang w:val="de-DE"/>
        </w:rPr>
      </w:pPr>
      <w:r>
        <w:rPr>
          <w:b/>
          <w:bCs/>
          <w:sz w:val="22"/>
          <w:szCs w:val="22"/>
          <w:u w:val="single"/>
          <w:lang w:val="de-DE"/>
        </w:rPr>
        <w:t>Bericht der AG 3 Epidemiologie der Arbeitswelt: Tätigkeit 202</w:t>
      </w:r>
      <w:r w:rsidR="00280356">
        <w:rPr>
          <w:b/>
          <w:bCs/>
          <w:sz w:val="22"/>
          <w:szCs w:val="22"/>
          <w:u w:val="single"/>
          <w:lang w:val="de-DE"/>
        </w:rPr>
        <w:t>4</w:t>
      </w:r>
      <w:r w:rsidR="007E46A2">
        <w:rPr>
          <w:b/>
          <w:bCs/>
          <w:sz w:val="22"/>
          <w:szCs w:val="22"/>
          <w:u w:val="single"/>
          <w:lang w:val="de-DE"/>
        </w:rPr>
        <w:t>/</w:t>
      </w:r>
      <w:r>
        <w:rPr>
          <w:b/>
          <w:bCs/>
          <w:sz w:val="22"/>
          <w:szCs w:val="22"/>
          <w:u w:val="single"/>
          <w:lang w:val="de-DE"/>
        </w:rPr>
        <w:t>202</w:t>
      </w:r>
      <w:r w:rsidR="00280356">
        <w:rPr>
          <w:b/>
          <w:bCs/>
          <w:sz w:val="22"/>
          <w:szCs w:val="22"/>
          <w:u w:val="single"/>
          <w:lang w:val="de-DE"/>
        </w:rPr>
        <w:t>5</w:t>
      </w:r>
    </w:p>
    <w:p w14:paraId="2D618828" w14:textId="77777777" w:rsidR="001C2200" w:rsidRDefault="001C2200">
      <w:pPr>
        <w:rPr>
          <w:rFonts w:cstheme="minorHAnsi"/>
          <w:lang w:val="de-DE"/>
        </w:rPr>
      </w:pPr>
    </w:p>
    <w:p w14:paraId="34E6E3FD" w14:textId="77777777" w:rsidR="00E521F6" w:rsidRPr="00E521F6" w:rsidRDefault="00E521F6" w:rsidP="00E521F6">
      <w:pPr>
        <w:pStyle w:val="Listenabsatz"/>
        <w:numPr>
          <w:ilvl w:val="0"/>
          <w:numId w:val="5"/>
        </w:numPr>
        <w:suppressAutoHyphens w:val="0"/>
        <w:spacing w:after="160" w:line="278" w:lineRule="auto"/>
        <w:rPr>
          <w:b/>
          <w:lang w:val="de-DE"/>
        </w:rPr>
      </w:pPr>
      <w:proofErr w:type="spellStart"/>
      <w:r>
        <w:rPr>
          <w:b/>
          <w:bCs/>
          <w:lang w:val="de-DE"/>
        </w:rPr>
        <w:t>DGEpi</w:t>
      </w:r>
      <w:proofErr w:type="spellEnd"/>
      <w:r>
        <w:rPr>
          <w:b/>
          <w:bCs/>
          <w:lang w:val="de-DE"/>
        </w:rPr>
        <w:t xml:space="preserve"> </w:t>
      </w:r>
      <w:r w:rsidRPr="0082031D">
        <w:rPr>
          <w:b/>
          <w:bCs/>
          <w:lang w:val="de-DE"/>
        </w:rPr>
        <w:t xml:space="preserve">White Paper </w:t>
      </w:r>
    </w:p>
    <w:p w14:paraId="15397B80" w14:textId="58717563" w:rsidR="00E521F6" w:rsidRDefault="00E521F6" w:rsidP="0082031D">
      <w:pPr>
        <w:pStyle w:val="Listenabsatz"/>
        <w:suppressAutoHyphens w:val="0"/>
        <w:spacing w:after="160" w:line="278" w:lineRule="auto"/>
        <w:ind w:left="360"/>
        <w:rPr>
          <w:lang w:val="de-DE"/>
        </w:rPr>
      </w:pPr>
      <w:r>
        <w:rPr>
          <w:lang w:val="de-DE"/>
        </w:rPr>
        <w:t>U</w:t>
      </w:r>
      <w:r w:rsidRPr="0082031D">
        <w:rPr>
          <w:lang w:val="de-DE"/>
        </w:rPr>
        <w:t xml:space="preserve">nsere </w:t>
      </w:r>
      <w:r>
        <w:rPr>
          <w:lang w:val="de-DE"/>
        </w:rPr>
        <w:t>Arbeitsg</w:t>
      </w:r>
      <w:r w:rsidRPr="0082031D">
        <w:rPr>
          <w:lang w:val="de-DE"/>
        </w:rPr>
        <w:t xml:space="preserve">ruppe </w:t>
      </w:r>
      <w:r>
        <w:rPr>
          <w:lang w:val="de-DE"/>
        </w:rPr>
        <w:t xml:space="preserve">beteiligt sich </w:t>
      </w:r>
      <w:r w:rsidR="0082031D">
        <w:rPr>
          <w:lang w:val="de-DE"/>
        </w:rPr>
        <w:t>am</w:t>
      </w:r>
      <w:r>
        <w:rPr>
          <w:lang w:val="de-DE"/>
        </w:rPr>
        <w:t xml:space="preserve"> von der </w:t>
      </w:r>
      <w:proofErr w:type="spellStart"/>
      <w:r>
        <w:rPr>
          <w:lang w:val="de-DE"/>
        </w:rPr>
        <w:t>DGEpi</w:t>
      </w:r>
      <w:proofErr w:type="spellEnd"/>
      <w:r>
        <w:rPr>
          <w:lang w:val="de-DE"/>
        </w:rPr>
        <w:t xml:space="preserve"> initiierten White Paper </w:t>
      </w:r>
      <w:r w:rsidR="0082031D">
        <w:rPr>
          <w:lang w:val="de-DE"/>
        </w:rPr>
        <w:t>über die Zukunft der Epidemiologie in Deutschland und hat am Kapitel zum Thema „Auswirkungen des demografischen Wandels“ mitgeschrieben</w:t>
      </w:r>
      <w:r w:rsidRPr="0082031D">
        <w:rPr>
          <w:lang w:val="de-DE"/>
        </w:rPr>
        <w:t>. Die gemeinsame Schreibgruppe (AG03, AG14, AG17) zu diesem Thema hat ihren Beitrag zum White Paper fristgerecht im Januar 2025 eingereicht. An diesem Abschnitt wirkten zahlreiche Mitglieder mit. Die Schreibgruppe war zudem an der Revision des White Papers beteiligt und entwickelt aktuell einen eigenständigen Artikel zum demografischen Wandel</w:t>
      </w:r>
      <w:r w:rsidR="0082031D">
        <w:rPr>
          <w:lang w:val="de-DE"/>
        </w:rPr>
        <w:t>.</w:t>
      </w:r>
    </w:p>
    <w:p w14:paraId="72D9F0B2" w14:textId="77777777" w:rsidR="0082031D" w:rsidRPr="0082031D" w:rsidRDefault="0082031D" w:rsidP="0082031D">
      <w:pPr>
        <w:pStyle w:val="Listenabsatz"/>
        <w:suppressAutoHyphens w:val="0"/>
        <w:spacing w:after="160" w:line="278" w:lineRule="auto"/>
        <w:ind w:left="360"/>
        <w:rPr>
          <w:lang w:val="de-DE"/>
        </w:rPr>
      </w:pPr>
    </w:p>
    <w:p w14:paraId="5943A727" w14:textId="77777777" w:rsidR="00E521F6" w:rsidRPr="0082031D" w:rsidRDefault="00E521F6" w:rsidP="00E521F6">
      <w:pPr>
        <w:pStyle w:val="Listenabsatz"/>
        <w:numPr>
          <w:ilvl w:val="0"/>
          <w:numId w:val="5"/>
        </w:numPr>
        <w:suppressAutoHyphens w:val="0"/>
        <w:spacing w:after="160" w:line="278" w:lineRule="auto"/>
        <w:rPr>
          <w:b/>
          <w:bCs/>
          <w:lang w:val="de-DE"/>
        </w:rPr>
      </w:pPr>
      <w:r w:rsidRPr="0082031D">
        <w:rPr>
          <w:b/>
          <w:bCs/>
          <w:lang w:val="de-DE"/>
        </w:rPr>
        <w:t>Gute Praxis arbeitsepidemiologische systematische Reviews (GPAR)</w:t>
      </w:r>
    </w:p>
    <w:p w14:paraId="13707237" w14:textId="77777777" w:rsidR="00E521F6" w:rsidRPr="0082031D" w:rsidRDefault="00E521F6" w:rsidP="0082031D">
      <w:pPr>
        <w:ind w:left="360"/>
        <w:jc w:val="both"/>
        <w:rPr>
          <w:lang w:val="de-DE"/>
        </w:rPr>
      </w:pPr>
      <w:r w:rsidRPr="0082031D">
        <w:rPr>
          <w:lang w:val="de-DE"/>
        </w:rPr>
        <w:t>Die Best-Practice-Empfehlungen und Instrumente für die Durchführung guter, systematischer Reviews zu Beobachtungsstudien aus dem beruflichen Umfeld sind finalisiert und von fünf einschlägigen Fachgesellschaften verabschiedet worden (</w:t>
      </w:r>
      <w:proofErr w:type="spellStart"/>
      <w:r w:rsidRPr="0082031D">
        <w:rPr>
          <w:lang w:val="de-DE"/>
        </w:rPr>
        <w:t>DGEpi</w:t>
      </w:r>
      <w:proofErr w:type="spellEnd"/>
      <w:r w:rsidRPr="0082031D">
        <w:rPr>
          <w:lang w:val="de-DE"/>
        </w:rPr>
        <w:t xml:space="preserve">, DGSMP, GMDS, DGAUM und EbM-Netzwerk). Die Empfehlungen sind online veröffentlicht (siehe unten) und auch auf den Seiten der </w:t>
      </w:r>
      <w:proofErr w:type="spellStart"/>
      <w:r w:rsidRPr="0082031D">
        <w:rPr>
          <w:lang w:val="de-DE"/>
        </w:rPr>
        <w:t>DGEpi</w:t>
      </w:r>
      <w:proofErr w:type="spellEnd"/>
      <w:r w:rsidRPr="0082031D">
        <w:rPr>
          <w:lang w:val="de-DE"/>
        </w:rPr>
        <w:t xml:space="preserve"> und der DGSMP verlinkt.</w:t>
      </w:r>
    </w:p>
    <w:p w14:paraId="5BDA62CC" w14:textId="7CF8C1B5" w:rsidR="00E521F6" w:rsidRDefault="00E521F6" w:rsidP="00E521F6">
      <w:pPr>
        <w:ind w:left="708"/>
      </w:pPr>
      <w:r w:rsidRPr="0082031D">
        <w:rPr>
          <w:lang w:val="de-DE"/>
        </w:rPr>
        <w:t>Seidler A, Hegewald J, Behrens T, Bolm-Audorff U, Drossard C, Freiberg A, Gabriel K, Gefeller O, Girbig M, Jöckel K.-H., Petereit-Haack G, Romero Starke K, Schlattmann P, Schröder C, Schubert M, Smolinska J, Wendt A, Wolf R. </w:t>
      </w:r>
      <w:r w:rsidRPr="0082031D">
        <w:rPr>
          <w:b/>
          <w:bCs/>
          <w:lang w:val="de-DE"/>
        </w:rPr>
        <w:t xml:space="preserve">Gute Praxis </w:t>
      </w:r>
      <w:r w:rsidR="009A5139">
        <w:rPr>
          <w:b/>
          <w:bCs/>
          <w:lang w:val="de-DE"/>
        </w:rPr>
        <w:t>arbeitsepidemiologische systematische</w:t>
      </w:r>
      <w:r w:rsidRPr="0082031D">
        <w:rPr>
          <w:b/>
          <w:bCs/>
          <w:lang w:val="de-DE"/>
        </w:rPr>
        <w:t xml:space="preserve"> Reviews (GPAR). Stand: 22.03.2025. </w:t>
      </w:r>
      <w:r w:rsidRPr="0082031D">
        <w:rPr>
          <w:lang w:val="de-DE"/>
        </w:rPr>
        <w:t>Deutsche Gesellschaft für Epidemiologie (</w:t>
      </w:r>
      <w:proofErr w:type="spellStart"/>
      <w:r w:rsidRPr="0082031D">
        <w:rPr>
          <w:lang w:val="de-DE"/>
        </w:rPr>
        <w:t>DGEpi</w:t>
      </w:r>
      <w:proofErr w:type="spellEnd"/>
      <w:r w:rsidRPr="0082031D">
        <w:rPr>
          <w:lang w:val="de-DE"/>
        </w:rPr>
        <w:t xml:space="preserve">), Deutsche Gesellschaft für Arbeitsmedizin und Umweltmedizin (DGAUM), Deutsche Gesellschaft für Medizinische Informatik, Biometrie und Epidemiologie (GMDS), Deutsche Gesellschaft für Sozialmedizin und Prävention (DGSMP), Netzwerk Evidenzbasierte Medizin (EbM-Netzwerk), 2025.  </w:t>
      </w:r>
      <w:r w:rsidRPr="009A3C0C">
        <w:t>Seiten: 54, PDF-</w:t>
      </w:r>
      <w:proofErr w:type="spellStart"/>
      <w:r w:rsidRPr="009A3C0C">
        <w:t>Datei</w:t>
      </w:r>
      <w:proofErr w:type="spellEnd"/>
      <w:r w:rsidRPr="009A3C0C">
        <w:t>, DOI: </w:t>
      </w:r>
      <w:hyperlink r:id="rId5" w:tgtFrame="_blank" w:history="1">
        <w:r w:rsidRPr="009A3C0C">
          <w:rPr>
            <w:rStyle w:val="Hyperlink"/>
          </w:rPr>
          <w:t>https://doi.org/10.25368/2025.367</w:t>
        </w:r>
      </w:hyperlink>
    </w:p>
    <w:p w14:paraId="28765349" w14:textId="77777777" w:rsidR="00E521F6" w:rsidRPr="0082031D" w:rsidRDefault="00E521F6" w:rsidP="0082031D">
      <w:pPr>
        <w:pStyle w:val="Textneu"/>
        <w:spacing w:before="0" w:after="120"/>
        <w:ind w:left="426"/>
        <w:jc w:val="left"/>
        <w:rPr>
          <w:sz w:val="22"/>
          <w:szCs w:val="22"/>
          <w:lang w:val="en-US"/>
        </w:rPr>
      </w:pPr>
    </w:p>
    <w:p w14:paraId="5D01D965" w14:textId="77777777" w:rsidR="0082031D" w:rsidRPr="0082031D" w:rsidRDefault="0082031D" w:rsidP="0082031D">
      <w:pPr>
        <w:pStyle w:val="Listenabsatz"/>
        <w:numPr>
          <w:ilvl w:val="0"/>
          <w:numId w:val="5"/>
        </w:numPr>
        <w:suppressAutoHyphens w:val="0"/>
        <w:spacing w:after="160" w:line="278" w:lineRule="auto"/>
        <w:rPr>
          <w:b/>
          <w:bCs/>
          <w:lang w:val="de-DE"/>
        </w:rPr>
      </w:pPr>
      <w:r w:rsidRPr="0082031D">
        <w:rPr>
          <w:b/>
          <w:bCs/>
          <w:lang w:val="de-DE"/>
        </w:rPr>
        <w:t xml:space="preserve">Teilnahme am Retreat des Fachbereichs Biometrie der GMDS und am Treffen zum White-Paper Epidemiologie der </w:t>
      </w:r>
      <w:proofErr w:type="spellStart"/>
      <w:r w:rsidRPr="0082031D">
        <w:rPr>
          <w:b/>
          <w:bCs/>
          <w:lang w:val="de-DE"/>
        </w:rPr>
        <w:t>DGEpi</w:t>
      </w:r>
      <w:proofErr w:type="spellEnd"/>
      <w:r w:rsidRPr="0082031D">
        <w:rPr>
          <w:b/>
          <w:bCs/>
          <w:lang w:val="de-DE"/>
        </w:rPr>
        <w:t xml:space="preserve"> in Verbindung mit anderen Fachgesellschaften im ersten Quartal 2025</w:t>
      </w:r>
    </w:p>
    <w:p w14:paraId="2AFDE59D" w14:textId="0BB3C506" w:rsidR="0082031D" w:rsidRDefault="0082031D" w:rsidP="0082031D">
      <w:pPr>
        <w:ind w:left="360"/>
        <w:jc w:val="both"/>
        <w:rPr>
          <w:lang w:val="de-DE"/>
        </w:rPr>
      </w:pPr>
      <w:r w:rsidRPr="0082031D">
        <w:rPr>
          <w:lang w:val="de-DE"/>
        </w:rPr>
        <w:t xml:space="preserve">Der AK Epidemiologie der Arbeitswelt nahm am „Retreat der Biometrie“ der GMDS vom 26.–27.02.2025 in Hannover teil. Ziel des Treffens war es, die Sichtbarkeit der Biometrie und der Epidemiologie innerhalb der GMDS zu stärken, die interne und externe Vernetzung auszubauen sowie die Außendarstellung beider Fachbereiche zu verbessern. Darüber hinaus beteiligte sich der AK am gemeinsamen Workshop zum White Paper der </w:t>
      </w:r>
      <w:proofErr w:type="spellStart"/>
      <w:r w:rsidRPr="0082031D">
        <w:rPr>
          <w:lang w:val="de-DE"/>
        </w:rPr>
        <w:t>DGEpi</w:t>
      </w:r>
      <w:proofErr w:type="spellEnd"/>
      <w:r w:rsidRPr="0082031D">
        <w:rPr>
          <w:lang w:val="de-DE"/>
        </w:rPr>
        <w:t xml:space="preserve"> mit dem Fachausschuss Epidemiologie der GMDS sowie Vertretern anderer Fachgesellschaften am 30.–31.03.2025 in Kassel. Neben der Besprechung des White Papers standen hier auch Fragen zur zukünftigen Ausrichtung, Organisation und Zusammenarbeit der Fachgesellschaften im Bereich der Epidemiologie im Mittelpunkt.</w:t>
      </w:r>
    </w:p>
    <w:p w14:paraId="5754E159" w14:textId="77777777" w:rsidR="0082031D" w:rsidRDefault="0082031D" w:rsidP="0082031D">
      <w:pPr>
        <w:ind w:left="360"/>
        <w:jc w:val="both"/>
        <w:rPr>
          <w:lang w:val="de-DE"/>
        </w:rPr>
      </w:pPr>
    </w:p>
    <w:p w14:paraId="17368516" w14:textId="77777777" w:rsidR="0082031D" w:rsidRPr="0082031D" w:rsidRDefault="0082031D" w:rsidP="0082031D">
      <w:pPr>
        <w:pStyle w:val="Listenabsatz"/>
        <w:numPr>
          <w:ilvl w:val="0"/>
          <w:numId w:val="5"/>
        </w:numPr>
        <w:suppressAutoHyphens w:val="0"/>
        <w:spacing w:after="160" w:line="278" w:lineRule="auto"/>
        <w:rPr>
          <w:b/>
          <w:bCs/>
          <w:lang w:val="de-DE"/>
        </w:rPr>
      </w:pPr>
      <w:r w:rsidRPr="0082031D">
        <w:rPr>
          <w:b/>
          <w:bCs/>
          <w:lang w:val="de-DE"/>
        </w:rPr>
        <w:t>2. April 2025, Forum Epidemiologie „Demographischer Wandel” </w:t>
      </w:r>
    </w:p>
    <w:p w14:paraId="219C63F4" w14:textId="747A4982" w:rsidR="0082031D" w:rsidRPr="009A5139" w:rsidRDefault="0082031D" w:rsidP="0082031D">
      <w:pPr>
        <w:ind w:left="360"/>
        <w:jc w:val="both"/>
        <w:rPr>
          <w:lang w:val="de-DE"/>
        </w:rPr>
      </w:pPr>
      <w:r w:rsidRPr="0082031D">
        <w:rPr>
          <w:lang w:val="de-DE"/>
        </w:rPr>
        <w:t xml:space="preserve">Das Forum Epidemiologie fand am 02. April 2025 im Rahmen der 65. Wissenschaftlichen Jahrestagung der DGAUM in Wuppertal statt. Das diesjährige Thema war der </w:t>
      </w:r>
      <w:r w:rsidRPr="0082031D">
        <w:rPr>
          <w:lang w:val="de-DE"/>
        </w:rPr>
        <w:lastRenderedPageBreak/>
        <w:t xml:space="preserve">„Demographische Wandel“. Im Fokus stand, wie der </w:t>
      </w:r>
      <w:r w:rsidR="009A5139">
        <w:rPr>
          <w:lang w:val="de-DE"/>
        </w:rPr>
        <w:t>demografische</w:t>
      </w:r>
      <w:r w:rsidRPr="0082031D">
        <w:rPr>
          <w:lang w:val="de-DE"/>
        </w:rPr>
        <w:t xml:space="preserve"> Wandel </w:t>
      </w:r>
      <w:r w:rsidR="009A5139">
        <w:rPr>
          <w:lang w:val="de-DE"/>
        </w:rPr>
        <w:t>die Arbeitswelt beeinflusst</w:t>
      </w:r>
      <w:r w:rsidRPr="0082031D">
        <w:rPr>
          <w:lang w:val="de-DE"/>
        </w:rPr>
        <w:t xml:space="preserve"> und welche gesellschaftlichen Veränderungen damit </w:t>
      </w:r>
      <w:r w:rsidR="009A5139">
        <w:rPr>
          <w:lang w:val="de-DE"/>
        </w:rPr>
        <w:t>einhergehen</w:t>
      </w:r>
      <w:r w:rsidRPr="0082031D">
        <w:rPr>
          <w:lang w:val="de-DE"/>
        </w:rPr>
        <w:t xml:space="preserve">. </w:t>
      </w:r>
      <w:r w:rsidRPr="009A5139">
        <w:rPr>
          <w:lang w:val="de-DE"/>
        </w:rPr>
        <w:t>Folgende Vorträge wurden gehalten:</w:t>
      </w:r>
    </w:p>
    <w:p w14:paraId="07B33BA5" w14:textId="77777777" w:rsidR="0082031D" w:rsidRPr="009A3C0C" w:rsidRDefault="0082031D" w:rsidP="0082031D">
      <w:pPr>
        <w:numPr>
          <w:ilvl w:val="0"/>
          <w:numId w:val="6"/>
        </w:numPr>
        <w:tabs>
          <w:tab w:val="clear" w:pos="720"/>
          <w:tab w:val="num" w:pos="1080"/>
        </w:tabs>
        <w:suppressAutoHyphens w:val="0"/>
        <w:spacing w:after="160" w:line="278" w:lineRule="auto"/>
        <w:ind w:left="1080"/>
      </w:pPr>
      <w:r w:rsidRPr="0082031D">
        <w:rPr>
          <w:lang w:val="de-DE"/>
        </w:rPr>
        <w:t xml:space="preserve">Mit der Tätigkeit korrelierende ungleiche statistische Lebenserwartung: Ist das gleiche Rentenalter diskriminierend? </w:t>
      </w:r>
      <w:r w:rsidRPr="009A3C0C">
        <w:t>(Johann Behrens)</w:t>
      </w:r>
    </w:p>
    <w:p w14:paraId="0203DEAB" w14:textId="77777777" w:rsidR="0082031D" w:rsidRPr="0082031D" w:rsidRDefault="0082031D" w:rsidP="0082031D">
      <w:pPr>
        <w:numPr>
          <w:ilvl w:val="0"/>
          <w:numId w:val="6"/>
        </w:numPr>
        <w:tabs>
          <w:tab w:val="clear" w:pos="720"/>
          <w:tab w:val="num" w:pos="1080"/>
        </w:tabs>
        <w:suppressAutoHyphens w:val="0"/>
        <w:spacing w:after="160" w:line="278" w:lineRule="auto"/>
        <w:ind w:left="1080"/>
        <w:rPr>
          <w:lang w:val="de-DE"/>
        </w:rPr>
      </w:pPr>
      <w:r w:rsidRPr="0082031D">
        <w:rPr>
          <w:lang w:val="de-DE"/>
        </w:rPr>
        <w:t>Die Länge des Erwerbslebens in Deutschland (Christian Dudel)</w:t>
      </w:r>
    </w:p>
    <w:p w14:paraId="698202A9" w14:textId="77777777" w:rsidR="0082031D" w:rsidRDefault="0082031D" w:rsidP="0082031D">
      <w:pPr>
        <w:numPr>
          <w:ilvl w:val="0"/>
          <w:numId w:val="6"/>
        </w:numPr>
        <w:tabs>
          <w:tab w:val="clear" w:pos="720"/>
          <w:tab w:val="num" w:pos="1080"/>
        </w:tabs>
        <w:suppressAutoHyphens w:val="0"/>
        <w:spacing w:after="160" w:line="278" w:lineRule="auto"/>
        <w:ind w:left="1080"/>
      </w:pPr>
      <w:r w:rsidRPr="009A3C0C">
        <w:t>From Efficiency to Illness: Do Highly Automatable Jobs Take a Toll on Health in Germany? (Mariia Vasiakina)</w:t>
      </w:r>
    </w:p>
    <w:p w14:paraId="747DBFDD" w14:textId="77777777" w:rsidR="0082031D" w:rsidRPr="0082031D" w:rsidRDefault="0082031D" w:rsidP="0082031D">
      <w:pPr>
        <w:ind w:left="360"/>
        <w:jc w:val="both"/>
        <w:rPr>
          <w:lang w:val="de-DE"/>
        </w:rPr>
      </w:pPr>
    </w:p>
    <w:p w14:paraId="5C4CEFB8" w14:textId="77777777" w:rsidR="0082031D" w:rsidRPr="0082031D" w:rsidRDefault="0082031D" w:rsidP="0082031D">
      <w:pPr>
        <w:pStyle w:val="Listenabsatz"/>
        <w:numPr>
          <w:ilvl w:val="0"/>
          <w:numId w:val="5"/>
        </w:numPr>
        <w:suppressAutoHyphens w:val="0"/>
        <w:spacing w:after="160" w:line="278" w:lineRule="auto"/>
        <w:rPr>
          <w:b/>
          <w:bCs/>
          <w:lang w:val="de-DE"/>
        </w:rPr>
      </w:pPr>
      <w:r w:rsidRPr="0082031D">
        <w:rPr>
          <w:b/>
          <w:bCs/>
          <w:lang w:val="de-DE"/>
        </w:rPr>
        <w:t>11. April 2025, Sprecherwahl der AG/AK Epidemiologie der Arbeitswelt </w:t>
      </w:r>
    </w:p>
    <w:p w14:paraId="0E95423C" w14:textId="7FA035AC" w:rsidR="0082031D" w:rsidRPr="0082031D" w:rsidRDefault="0082031D" w:rsidP="0082031D">
      <w:pPr>
        <w:jc w:val="both"/>
        <w:rPr>
          <w:lang w:val="de-DE"/>
        </w:rPr>
      </w:pPr>
      <w:r w:rsidRPr="0082031D">
        <w:rPr>
          <w:lang w:val="de-DE"/>
        </w:rPr>
        <w:t xml:space="preserve">Im Jahr 2025 fand die Sprecherwahl der AG/AK Epidemiologie der Arbeitswelt, die von den vier Fachgesellschaften </w:t>
      </w:r>
      <w:proofErr w:type="spellStart"/>
      <w:r w:rsidRPr="0082031D">
        <w:rPr>
          <w:lang w:val="de-DE"/>
        </w:rPr>
        <w:t>DGEpi</w:t>
      </w:r>
      <w:proofErr w:type="spellEnd"/>
      <w:r w:rsidRPr="0082031D">
        <w:rPr>
          <w:lang w:val="de-DE"/>
        </w:rPr>
        <w:t xml:space="preserve">, GMDS, DGAUM und DGSMP getragen wird, online statt. Die Mitglieder </w:t>
      </w:r>
      <w:r w:rsidR="00C87FC8">
        <w:rPr>
          <w:lang w:val="de-DE"/>
        </w:rPr>
        <w:t xml:space="preserve">und Fachgesellschaften </w:t>
      </w:r>
      <w:r w:rsidRPr="0082031D">
        <w:rPr>
          <w:lang w:val="de-DE"/>
        </w:rPr>
        <w:t xml:space="preserve">wurden fristgerecht </w:t>
      </w:r>
      <w:r w:rsidR="00C87FC8">
        <w:rPr>
          <w:lang w:val="de-DE"/>
        </w:rPr>
        <w:t xml:space="preserve">informiert und </w:t>
      </w:r>
      <w:r w:rsidRPr="0082031D">
        <w:rPr>
          <w:lang w:val="de-DE"/>
        </w:rPr>
        <w:t>eingeladen</w:t>
      </w:r>
      <w:r w:rsidR="007C1502">
        <w:rPr>
          <w:lang w:val="de-DE"/>
        </w:rPr>
        <w:t>.</w:t>
      </w:r>
      <w:r w:rsidRPr="0082031D">
        <w:rPr>
          <w:lang w:val="de-DE"/>
        </w:rPr>
        <w:t xml:space="preserve"> </w:t>
      </w:r>
      <w:r w:rsidR="007C1502">
        <w:rPr>
          <w:lang w:val="de-DE"/>
        </w:rPr>
        <w:t>D</w:t>
      </w:r>
      <w:r w:rsidRPr="0082031D">
        <w:rPr>
          <w:lang w:val="de-DE"/>
        </w:rPr>
        <w:t>ie Wahlversammlung fand am 11. April 2025 statt. Zur Wiederwahl standen Janice Hegewald und Jean-Baptist du Prel; neu kandidierte Benjamin Kendzia. Katarzyna Burek trat nicht erneut an.</w:t>
      </w:r>
    </w:p>
    <w:p w14:paraId="0F1AA9DA" w14:textId="77777777" w:rsidR="0082031D" w:rsidRPr="0082031D" w:rsidRDefault="0082031D" w:rsidP="0082031D">
      <w:pPr>
        <w:jc w:val="both"/>
        <w:rPr>
          <w:lang w:val="de-DE"/>
        </w:rPr>
      </w:pPr>
      <w:r w:rsidRPr="0082031D">
        <w:rPr>
          <w:lang w:val="de-DE"/>
        </w:rPr>
        <w:t xml:space="preserve">Die Abstimmung erfolgte über das Online-Tool </w:t>
      </w:r>
      <w:proofErr w:type="spellStart"/>
      <w:r w:rsidRPr="0082031D">
        <w:rPr>
          <w:lang w:val="de-DE"/>
        </w:rPr>
        <w:t>Slido</w:t>
      </w:r>
      <w:proofErr w:type="spellEnd"/>
      <w:r w:rsidRPr="0082031D">
        <w:rPr>
          <w:lang w:val="de-DE"/>
        </w:rPr>
        <w:t>. Insgesamt nahmen 14 Stimmberechtigte, einschließlich der Kandidierenden, teil. In einer offenen Wahl mit einem Wahlgang wurde der Wahlvorschlag nahezu einstimmig angenommen: 13 Stimmen entfielen auf den Vorschlag, es gab keine Gegenstimme und eine Enthaltung. Damit wurden Janice Hegewald, Benjamin Kendzia und Jean</w:t>
      </w:r>
      <w:r w:rsidRPr="0082031D">
        <w:rPr>
          <w:lang w:val="de-DE"/>
        </w:rPr>
        <w:noBreakHyphen/>
        <w:t xml:space="preserve">Baptist du Prel als gleichberechtigte </w:t>
      </w:r>
      <w:proofErr w:type="spellStart"/>
      <w:proofErr w:type="gramStart"/>
      <w:r w:rsidRPr="0082031D">
        <w:rPr>
          <w:lang w:val="de-DE"/>
        </w:rPr>
        <w:t>Sprecher:innen</w:t>
      </w:r>
      <w:proofErr w:type="spellEnd"/>
      <w:proofErr w:type="gramEnd"/>
      <w:r w:rsidRPr="0082031D">
        <w:rPr>
          <w:lang w:val="de-DE"/>
        </w:rPr>
        <w:t xml:space="preserve"> für eine Amtszeit von drei Jahren gewählt. Alle drei nahmen die Wahl mündlich an.</w:t>
      </w:r>
    </w:p>
    <w:p w14:paraId="0CF2D090" w14:textId="77777777" w:rsidR="0082031D" w:rsidRPr="0082031D" w:rsidRDefault="0082031D" w:rsidP="0082031D">
      <w:pPr>
        <w:jc w:val="both"/>
        <w:rPr>
          <w:lang w:val="de-DE"/>
        </w:rPr>
      </w:pPr>
      <w:r w:rsidRPr="0082031D">
        <w:rPr>
          <w:lang w:val="de-DE"/>
        </w:rPr>
        <w:t xml:space="preserve">Amtszeit der </w:t>
      </w:r>
      <w:proofErr w:type="spellStart"/>
      <w:proofErr w:type="gramStart"/>
      <w:r w:rsidRPr="0082031D">
        <w:rPr>
          <w:lang w:val="de-DE"/>
        </w:rPr>
        <w:t>Leiter:innen</w:t>
      </w:r>
      <w:proofErr w:type="spellEnd"/>
      <w:proofErr w:type="gramEnd"/>
      <w:r w:rsidRPr="0082031D">
        <w:rPr>
          <w:lang w:val="de-DE"/>
        </w:rPr>
        <w:t xml:space="preserve"> und deren Vertretung: April 2025 bis März 2028</w:t>
      </w:r>
    </w:p>
    <w:p w14:paraId="1AC42340" w14:textId="77777777" w:rsidR="0082031D" w:rsidRPr="007E46A2" w:rsidRDefault="0082031D" w:rsidP="0082031D">
      <w:pPr>
        <w:pStyle w:val="Listenabsatz"/>
        <w:numPr>
          <w:ilvl w:val="0"/>
          <w:numId w:val="5"/>
        </w:numPr>
        <w:suppressAutoHyphens w:val="0"/>
        <w:spacing w:after="160" w:line="278" w:lineRule="auto"/>
        <w:rPr>
          <w:b/>
          <w:bCs/>
          <w:lang w:val="de-DE"/>
        </w:rPr>
      </w:pPr>
      <w:r w:rsidRPr="0082031D">
        <w:rPr>
          <w:b/>
          <w:bCs/>
          <w:lang w:val="de-DE"/>
        </w:rPr>
        <w:t xml:space="preserve">Mai 2025, AWMF-Leitlinie „Einsatz von Exoskeletten im beruflichen Kontext zur Primär-, Sekundär- und Tertiärprävention von arbeitsassoziierten muskuloskelettalen Beschwerden“ – Mandatsträger AWMF-Register-Nr. </w:t>
      </w:r>
      <w:r w:rsidRPr="007E46A2">
        <w:rPr>
          <w:b/>
          <w:bCs/>
          <w:lang w:val="de-DE"/>
        </w:rPr>
        <w:t>002/046 Klasse: S2k</w:t>
      </w:r>
    </w:p>
    <w:p w14:paraId="6352B345" w14:textId="51E84405" w:rsidR="0082031D" w:rsidRDefault="0082031D" w:rsidP="0082031D">
      <w:pPr>
        <w:spacing w:after="0"/>
        <w:jc w:val="both"/>
        <w:rPr>
          <w:lang w:val="de-DE"/>
        </w:rPr>
      </w:pPr>
      <w:r w:rsidRPr="0082031D">
        <w:rPr>
          <w:lang w:val="de-DE"/>
        </w:rPr>
        <w:t xml:space="preserve">Für die Überarbeitung der Leitlinie war Dr. Falk Liebers als Mandatsträger der DGSMP </w:t>
      </w:r>
      <w:r>
        <w:rPr>
          <w:lang w:val="de-DE"/>
        </w:rPr>
        <w:t xml:space="preserve">weiterhin </w:t>
      </w:r>
      <w:r w:rsidRPr="0082031D">
        <w:rPr>
          <w:lang w:val="de-DE"/>
        </w:rPr>
        <w:t>tätig. Stellvertretende Mandatsträgerin war Dr. Janice Hegewald.</w:t>
      </w:r>
      <w:r>
        <w:rPr>
          <w:lang w:val="de-DE"/>
        </w:rPr>
        <w:t xml:space="preserve"> Weitere </w:t>
      </w:r>
      <w:proofErr w:type="spellStart"/>
      <w:r w:rsidR="009A5139">
        <w:rPr>
          <w:lang w:val="de-DE"/>
        </w:rPr>
        <w:t>Konsentierungen</w:t>
      </w:r>
      <w:proofErr w:type="spellEnd"/>
      <w:r w:rsidR="009A5139">
        <w:rPr>
          <w:lang w:val="de-DE"/>
        </w:rPr>
        <w:t xml:space="preserve"> haben im</w:t>
      </w:r>
      <w:r>
        <w:rPr>
          <w:lang w:val="de-DE"/>
        </w:rPr>
        <w:t xml:space="preserve"> Berichtszeitraum stattgefunden.</w:t>
      </w:r>
    </w:p>
    <w:p w14:paraId="1C497211" w14:textId="564BDEE4" w:rsidR="0082031D" w:rsidRDefault="006E1FE6" w:rsidP="0082031D">
      <w:pPr>
        <w:spacing w:after="0"/>
        <w:jc w:val="both"/>
        <w:rPr>
          <w:lang w:val="de-DE"/>
        </w:rPr>
      </w:pPr>
      <w:hyperlink r:id="rId6" w:anchor="anmeldung" w:history="1">
        <w:r w:rsidR="0082031D" w:rsidRPr="008A2025">
          <w:rPr>
            <w:rStyle w:val="Hyperlink"/>
            <w:lang w:val="de-DE"/>
          </w:rPr>
          <w:t>https://register.awmf.org/de/leitlinien/detail/002-046#anmeldung</w:t>
        </w:r>
      </w:hyperlink>
      <w:r w:rsidR="0082031D">
        <w:rPr>
          <w:lang w:val="de-DE"/>
        </w:rPr>
        <w:t xml:space="preserve"> </w:t>
      </w:r>
    </w:p>
    <w:p w14:paraId="2F6B4284" w14:textId="77777777" w:rsidR="0082031D" w:rsidRDefault="0082031D">
      <w:pPr>
        <w:rPr>
          <w:lang w:val="de-DE"/>
        </w:rPr>
      </w:pPr>
    </w:p>
    <w:p w14:paraId="0C3B4618" w14:textId="1F07D44A" w:rsidR="0082031D" w:rsidRPr="006D3211" w:rsidRDefault="0082031D" w:rsidP="0082031D">
      <w:pPr>
        <w:pStyle w:val="Listenabsatz"/>
        <w:numPr>
          <w:ilvl w:val="0"/>
          <w:numId w:val="5"/>
        </w:numPr>
        <w:suppressAutoHyphens w:val="0"/>
        <w:spacing w:after="160" w:line="278" w:lineRule="auto"/>
        <w:rPr>
          <w:b/>
          <w:bCs/>
        </w:rPr>
      </w:pPr>
      <w:r w:rsidRPr="006D3211">
        <w:rPr>
          <w:b/>
          <w:bCs/>
        </w:rPr>
        <w:t>16. September 2025, Online-</w:t>
      </w:r>
      <w:r w:rsidR="009A5139">
        <w:rPr>
          <w:b/>
          <w:bCs/>
        </w:rPr>
        <w:t>AG-Treff</w:t>
      </w:r>
      <w:r w:rsidRPr="006D3211">
        <w:rPr>
          <w:b/>
          <w:bCs/>
        </w:rPr>
        <w:t> </w:t>
      </w:r>
    </w:p>
    <w:p w14:paraId="58FCBDB7" w14:textId="3CB05CB7" w:rsidR="0082031D" w:rsidRPr="0082031D" w:rsidRDefault="0082031D" w:rsidP="0082031D">
      <w:pPr>
        <w:jc w:val="both"/>
        <w:rPr>
          <w:lang w:val="de-DE"/>
        </w:rPr>
      </w:pPr>
      <w:r w:rsidRPr="0082031D">
        <w:rPr>
          <w:lang w:val="de-DE"/>
        </w:rPr>
        <w:t xml:space="preserve">Am 16. September 2025 fand </w:t>
      </w:r>
      <w:r w:rsidR="009A5139">
        <w:rPr>
          <w:lang w:val="de-DE"/>
        </w:rPr>
        <w:t>unser</w:t>
      </w:r>
      <w:r w:rsidRPr="0082031D">
        <w:rPr>
          <w:lang w:val="de-DE"/>
        </w:rPr>
        <w:t xml:space="preserve"> Online-</w:t>
      </w:r>
      <w:r w:rsidR="009A5139">
        <w:rPr>
          <w:lang w:val="de-DE"/>
        </w:rPr>
        <w:t>Meeting</w:t>
      </w:r>
      <w:r w:rsidRPr="0082031D">
        <w:rPr>
          <w:lang w:val="de-DE"/>
        </w:rPr>
        <w:t xml:space="preserve"> der AG/AK statt. Zu Beginn begrüßte der neu gewählte Vorstand die anwesenden Mitglieder und stellte sich kurz vor. Anschließend folgte ein Überblick über den aktuellen Stand der Arbeitsgruppenaktivitäten, einschließlich laufender Projekte und geplanter Schwerpunkte.</w:t>
      </w:r>
    </w:p>
    <w:p w14:paraId="7306FBC1" w14:textId="5056D7D2" w:rsidR="0082031D" w:rsidRPr="0082031D" w:rsidRDefault="0082031D" w:rsidP="0082031D">
      <w:pPr>
        <w:jc w:val="both"/>
        <w:rPr>
          <w:lang w:val="de-DE"/>
        </w:rPr>
      </w:pPr>
      <w:r w:rsidRPr="0082031D">
        <w:rPr>
          <w:lang w:val="de-DE"/>
        </w:rPr>
        <w:t>Ein zentraler Tagesordnungspunkt war das White Paper</w:t>
      </w:r>
      <w:r>
        <w:rPr>
          <w:lang w:val="de-DE"/>
        </w:rPr>
        <w:t xml:space="preserve"> der </w:t>
      </w:r>
      <w:proofErr w:type="spellStart"/>
      <w:r w:rsidR="009A5139">
        <w:rPr>
          <w:lang w:val="de-DE"/>
        </w:rPr>
        <w:t>DGEpi</w:t>
      </w:r>
      <w:proofErr w:type="spellEnd"/>
      <w:r w:rsidR="009A5139">
        <w:rPr>
          <w:lang w:val="de-DE"/>
        </w:rPr>
        <w:t xml:space="preserve"> „</w:t>
      </w:r>
      <w:r w:rsidRPr="0082031D">
        <w:rPr>
          <w:lang w:val="de-DE"/>
        </w:rPr>
        <w:t>Epidemiologie</w:t>
      </w:r>
      <w:r>
        <w:rPr>
          <w:lang w:val="de-DE"/>
        </w:rPr>
        <w:t>“</w:t>
      </w:r>
      <w:r w:rsidRPr="0082031D">
        <w:rPr>
          <w:lang w:val="de-DE"/>
        </w:rPr>
        <w:t xml:space="preserve">, </w:t>
      </w:r>
      <w:r w:rsidR="009A5139">
        <w:rPr>
          <w:lang w:val="de-DE"/>
        </w:rPr>
        <w:t>an dem die AG/AK weiterhin aktiv mitwirkt</w:t>
      </w:r>
      <w:r w:rsidRPr="0082031D">
        <w:rPr>
          <w:lang w:val="de-DE"/>
        </w:rPr>
        <w:t>. Darüber hinaus wurde das geplante „Forum Epidemiologie“ im Rahmen der DGAUM</w:t>
      </w:r>
      <w:r w:rsidRPr="0082031D">
        <w:rPr>
          <w:lang w:val="de-DE"/>
        </w:rPr>
        <w:noBreakHyphen/>
        <w:t>Tagung 2026 vorgestellt. Als thematischer Schwerpunkt wurden die lange Arbeitszeit und deren gesundheitliche Folgen vorgeschlagen, die in den letzten Monaten des Jahres weiter ausgearbeitet werden sollen.</w:t>
      </w:r>
    </w:p>
    <w:p w14:paraId="1CEB334E" w14:textId="278BEECE" w:rsidR="001C2200" w:rsidRDefault="0082031D" w:rsidP="0024272D">
      <w:pPr>
        <w:jc w:val="both"/>
        <w:rPr>
          <w:lang w:val="de-DE"/>
        </w:rPr>
      </w:pPr>
      <w:r w:rsidRPr="0082031D">
        <w:rPr>
          <w:lang w:val="de-DE"/>
        </w:rPr>
        <w:lastRenderedPageBreak/>
        <w:t>Im Anschluss diskutierten die Teilnehmenden mögliche Workshop</w:t>
      </w:r>
      <w:r w:rsidRPr="0082031D">
        <w:rPr>
          <w:lang w:val="de-DE"/>
        </w:rPr>
        <w:noBreakHyphen/>
        <w:t>Formate und Themen für das Jahr 2026. Ziel ist es, innovative und praxisnahe Angebote zu entwickeln, die sowohl wissenschaftliche als auch anwendungsorientierte Aspekte der Arbeitsepidemiologie abdecken. Ein weiterer wichtiger Punkt war die Gewinnung neuer Mitglieder, um die Sichtbarkeit und Schlagkraft der AG/AK langfristig zu stärken.</w:t>
      </w:r>
    </w:p>
    <w:p w14:paraId="3E5513B4" w14:textId="60E1A313" w:rsidR="007E46A2" w:rsidRDefault="007E46A2" w:rsidP="0024272D">
      <w:pPr>
        <w:jc w:val="both"/>
        <w:rPr>
          <w:lang w:val="de-DE"/>
        </w:rPr>
      </w:pPr>
    </w:p>
    <w:p w14:paraId="5B982819" w14:textId="1F8478B8" w:rsidR="007E46A2" w:rsidRPr="006D3211" w:rsidRDefault="007E46A2" w:rsidP="007E46A2">
      <w:pPr>
        <w:pStyle w:val="Listenabsatz"/>
        <w:numPr>
          <w:ilvl w:val="0"/>
          <w:numId w:val="5"/>
        </w:numPr>
        <w:suppressAutoHyphens w:val="0"/>
        <w:spacing w:after="160" w:line="278" w:lineRule="auto"/>
        <w:rPr>
          <w:b/>
          <w:bCs/>
        </w:rPr>
      </w:pPr>
      <w:proofErr w:type="spellStart"/>
      <w:r>
        <w:rPr>
          <w:b/>
          <w:bCs/>
        </w:rPr>
        <w:t>Sonstiges</w:t>
      </w:r>
      <w:proofErr w:type="spellEnd"/>
    </w:p>
    <w:p w14:paraId="4EC400AE" w14:textId="08BBFCAD" w:rsidR="007E46A2" w:rsidRDefault="007E46A2" w:rsidP="0024272D">
      <w:pPr>
        <w:jc w:val="both"/>
        <w:rPr>
          <w:lang w:val="de-DE"/>
        </w:rPr>
      </w:pPr>
      <w:r w:rsidRPr="007E46A2">
        <w:rPr>
          <w:lang w:val="de-DE"/>
        </w:rPr>
        <w:t xml:space="preserve">Die Arbeitsgruppe hat bei der Begutachtung von Abstracts für die </w:t>
      </w:r>
      <w:proofErr w:type="spellStart"/>
      <w:r w:rsidRPr="007E46A2">
        <w:rPr>
          <w:lang w:val="de-DE"/>
        </w:rPr>
        <w:t>DGEpi</w:t>
      </w:r>
      <w:proofErr w:type="spellEnd"/>
      <w:r w:rsidRPr="007E46A2">
        <w:rPr>
          <w:lang w:val="de-DE"/>
        </w:rPr>
        <w:t>, die DGSMP und die GMDS mitgewirkt. Zudem war sie als Jury-Mitglied vertreten, um den DGSMP-Preis für herausragende Bachelor- und Masterarbeiten sowie Dissertationen auszuwählen.</w:t>
      </w:r>
    </w:p>
    <w:p w14:paraId="4B44DD65" w14:textId="77777777" w:rsidR="007E46A2" w:rsidRPr="0024272D" w:rsidRDefault="007E46A2" w:rsidP="0024272D">
      <w:pPr>
        <w:jc w:val="both"/>
        <w:rPr>
          <w:lang w:val="de-DE"/>
        </w:rPr>
      </w:pPr>
    </w:p>
    <w:p w14:paraId="061BF4C8" w14:textId="77777777" w:rsidR="001C2200" w:rsidRPr="007E46A2" w:rsidRDefault="001C2200">
      <w:pPr>
        <w:spacing w:after="120" w:line="240" w:lineRule="auto"/>
        <w:rPr>
          <w:rFonts w:cstheme="minorHAnsi"/>
          <w:lang w:val="de-DE"/>
        </w:rPr>
      </w:pPr>
    </w:p>
    <w:tbl>
      <w:tblPr>
        <w:tblStyle w:val="Tabellenraster"/>
        <w:tblW w:w="9209" w:type="dxa"/>
        <w:tblLayout w:type="fixed"/>
        <w:tblLook w:val="04A0" w:firstRow="1" w:lastRow="0" w:firstColumn="1" w:lastColumn="0" w:noHBand="0" w:noVBand="1"/>
      </w:tblPr>
      <w:tblGrid>
        <w:gridCol w:w="9209"/>
      </w:tblGrid>
      <w:tr w:rsidR="001C2200" w14:paraId="49E07DA5" w14:textId="77777777">
        <w:tc>
          <w:tcPr>
            <w:tcW w:w="9209" w:type="dxa"/>
            <w:tcBorders>
              <w:top w:val="nil"/>
              <w:left w:val="nil"/>
              <w:bottom w:val="nil"/>
              <w:right w:val="nil"/>
            </w:tcBorders>
          </w:tcPr>
          <w:p w14:paraId="798A4E08" w14:textId="41E43DA7" w:rsidR="001C2200" w:rsidRDefault="00CF2DD3">
            <w:pPr>
              <w:spacing w:after="0" w:line="240" w:lineRule="auto"/>
              <w:ind w:left="-120"/>
              <w:rPr>
                <w:rFonts w:cstheme="minorHAnsi"/>
                <w:b/>
              </w:rPr>
            </w:pPr>
            <w:r>
              <w:rPr>
                <w:rFonts w:eastAsia="Arial" w:cstheme="minorHAnsi"/>
                <w:b/>
              </w:rPr>
              <w:t>Bochum/Dresden/Wuppertal, 1</w:t>
            </w:r>
            <w:r w:rsidR="00E521F6">
              <w:rPr>
                <w:rFonts w:eastAsia="Arial" w:cstheme="minorHAnsi"/>
                <w:b/>
              </w:rPr>
              <w:t>7</w:t>
            </w:r>
            <w:r>
              <w:rPr>
                <w:rFonts w:eastAsia="Arial" w:cstheme="minorHAnsi"/>
                <w:b/>
              </w:rPr>
              <w:t>.07.202</w:t>
            </w:r>
            <w:r w:rsidR="00E521F6">
              <w:rPr>
                <w:rFonts w:eastAsia="Arial" w:cstheme="minorHAnsi"/>
                <w:b/>
              </w:rPr>
              <w:t>6</w:t>
            </w:r>
          </w:p>
        </w:tc>
      </w:tr>
      <w:tr w:rsidR="001C2200" w14:paraId="0C2E5655" w14:textId="77777777">
        <w:tc>
          <w:tcPr>
            <w:tcW w:w="9209" w:type="dxa"/>
            <w:tcBorders>
              <w:top w:val="nil"/>
              <w:left w:val="nil"/>
              <w:bottom w:val="nil"/>
              <w:right w:val="nil"/>
            </w:tcBorders>
          </w:tcPr>
          <w:p w14:paraId="4440FCC8" w14:textId="5DB1F3F7" w:rsidR="001C2200" w:rsidRDefault="0024272D">
            <w:pPr>
              <w:spacing w:after="0" w:line="240" w:lineRule="auto"/>
              <w:ind w:left="-120"/>
              <w:rPr>
                <w:rFonts w:cstheme="minorHAnsi"/>
                <w:b/>
              </w:rPr>
            </w:pPr>
            <w:r w:rsidRPr="0024272D">
              <w:rPr>
                <w:rFonts w:eastAsia="Arial" w:cstheme="minorHAnsi"/>
                <w:b/>
              </w:rPr>
              <w:t>Kendzia</w:t>
            </w:r>
            <w:r w:rsidR="00CF2DD3">
              <w:rPr>
                <w:rFonts w:eastAsia="Arial" w:cstheme="minorHAnsi"/>
                <w:b/>
              </w:rPr>
              <w:t>/Hegewald/du Prel</w:t>
            </w:r>
          </w:p>
        </w:tc>
      </w:tr>
    </w:tbl>
    <w:p w14:paraId="68B2ADE7" w14:textId="77777777" w:rsidR="001C2200" w:rsidRDefault="001C2200">
      <w:pPr>
        <w:rPr>
          <w:rFonts w:cstheme="minorHAnsi"/>
        </w:rPr>
      </w:pPr>
    </w:p>
    <w:p w14:paraId="29C66B82" w14:textId="77777777" w:rsidR="001C2200" w:rsidRDefault="001C2200"/>
    <w:sectPr w:rsidR="001C2200">
      <w:pgSz w:w="11906" w:h="16838"/>
      <w:pgMar w:top="1134" w:right="850" w:bottom="1134" w:left="1701"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54699"/>
    <w:multiLevelType w:val="hybridMultilevel"/>
    <w:tmpl w:val="3E62B3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20C15053"/>
    <w:multiLevelType w:val="multilevel"/>
    <w:tmpl w:val="6BD2C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541C4B"/>
    <w:multiLevelType w:val="multilevel"/>
    <w:tmpl w:val="2D709C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5037850"/>
    <w:multiLevelType w:val="multilevel"/>
    <w:tmpl w:val="D862C6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71E950DC"/>
    <w:multiLevelType w:val="multilevel"/>
    <w:tmpl w:val="BE6488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FBD5686"/>
    <w:multiLevelType w:val="multilevel"/>
    <w:tmpl w:val="988A8506"/>
    <w:lvl w:ilvl="0">
      <w:start w:val="1"/>
      <w:numFmt w:val="decimal"/>
      <w:lvlText w:val="%1."/>
      <w:lvlJc w:val="left"/>
      <w:pPr>
        <w:tabs>
          <w:tab w:val="num" w:pos="0"/>
        </w:tabs>
        <w:ind w:left="1779" w:hanging="360"/>
      </w:pPr>
      <w:rPr>
        <w:rFonts w:ascii="Calibri" w:eastAsia="Calibri" w:hAnsi="Calibri" w:cs="Calibri"/>
        <w:b/>
      </w:rPr>
    </w:lvl>
    <w:lvl w:ilvl="1">
      <w:start w:val="2"/>
      <w:numFmt w:val="decimal"/>
      <w:isLgl/>
      <w:lvlText w:val="%1.%2"/>
      <w:lvlJc w:val="left"/>
      <w:pPr>
        <w:tabs>
          <w:tab w:val="num" w:pos="0"/>
        </w:tabs>
        <w:ind w:left="1779" w:hanging="360"/>
      </w:pPr>
    </w:lvl>
    <w:lvl w:ilvl="2">
      <w:start w:val="1"/>
      <w:numFmt w:val="decimal"/>
      <w:isLgl/>
      <w:lvlText w:val="%1.%2.%3"/>
      <w:lvlJc w:val="left"/>
      <w:pPr>
        <w:tabs>
          <w:tab w:val="num" w:pos="0"/>
        </w:tabs>
        <w:ind w:left="2139" w:hanging="720"/>
      </w:pPr>
    </w:lvl>
    <w:lvl w:ilvl="3">
      <w:start w:val="1"/>
      <w:numFmt w:val="decimal"/>
      <w:isLgl/>
      <w:lvlText w:val="%1.%2.%3.%4"/>
      <w:lvlJc w:val="left"/>
      <w:pPr>
        <w:tabs>
          <w:tab w:val="num" w:pos="0"/>
        </w:tabs>
        <w:ind w:left="2139" w:hanging="720"/>
      </w:pPr>
    </w:lvl>
    <w:lvl w:ilvl="4">
      <w:start w:val="1"/>
      <w:numFmt w:val="decimal"/>
      <w:isLgl/>
      <w:lvlText w:val="%1.%2.%3.%4.%5"/>
      <w:lvlJc w:val="left"/>
      <w:pPr>
        <w:tabs>
          <w:tab w:val="num" w:pos="0"/>
        </w:tabs>
        <w:ind w:left="2499" w:hanging="1080"/>
      </w:pPr>
    </w:lvl>
    <w:lvl w:ilvl="5">
      <w:start w:val="1"/>
      <w:numFmt w:val="decimal"/>
      <w:isLgl/>
      <w:lvlText w:val="%1.%2.%3.%4.%5.%6"/>
      <w:lvlJc w:val="left"/>
      <w:pPr>
        <w:tabs>
          <w:tab w:val="num" w:pos="0"/>
        </w:tabs>
        <w:ind w:left="2499" w:hanging="1080"/>
      </w:pPr>
    </w:lvl>
    <w:lvl w:ilvl="6">
      <w:start w:val="1"/>
      <w:numFmt w:val="decimal"/>
      <w:isLgl/>
      <w:lvlText w:val="%1.%2.%3.%4.%5.%6.%7"/>
      <w:lvlJc w:val="left"/>
      <w:pPr>
        <w:tabs>
          <w:tab w:val="num" w:pos="0"/>
        </w:tabs>
        <w:ind w:left="2859" w:hanging="1440"/>
      </w:pPr>
    </w:lvl>
    <w:lvl w:ilvl="7">
      <w:start w:val="1"/>
      <w:numFmt w:val="decimal"/>
      <w:isLgl/>
      <w:lvlText w:val="%1.%2.%3.%4.%5.%6.%7.%8"/>
      <w:lvlJc w:val="left"/>
      <w:pPr>
        <w:tabs>
          <w:tab w:val="num" w:pos="0"/>
        </w:tabs>
        <w:ind w:left="2859" w:hanging="1440"/>
      </w:pPr>
    </w:lvl>
    <w:lvl w:ilvl="8">
      <w:start w:val="1"/>
      <w:numFmt w:val="decimal"/>
      <w:isLgl/>
      <w:lvlText w:val="%1.%2.%3.%4.%5.%6.%7.%8.%9"/>
      <w:lvlJc w:val="left"/>
      <w:pPr>
        <w:tabs>
          <w:tab w:val="num" w:pos="0"/>
        </w:tabs>
        <w:ind w:left="2859" w:hanging="1440"/>
      </w:pPr>
    </w:lvl>
  </w:abstractNum>
  <w:num w:numId="1">
    <w:abstractNumId w:val="5"/>
  </w:num>
  <w:num w:numId="2">
    <w:abstractNumId w:val="2"/>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200"/>
    <w:rsid w:val="001C2200"/>
    <w:rsid w:val="00241A9D"/>
    <w:rsid w:val="0024272D"/>
    <w:rsid w:val="00280356"/>
    <w:rsid w:val="00565D68"/>
    <w:rsid w:val="005C13A9"/>
    <w:rsid w:val="006E1FE6"/>
    <w:rsid w:val="007C1502"/>
    <w:rsid w:val="007E46A2"/>
    <w:rsid w:val="0082031D"/>
    <w:rsid w:val="009A5139"/>
    <w:rsid w:val="00C87FC8"/>
    <w:rsid w:val="00CF2DD3"/>
    <w:rsid w:val="00E521F6"/>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6A1CF"/>
  <w15:docId w15:val="{D3A134BA-812C-42FB-A7B0-77ADF82F6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paragraph" w:styleId="berschrift1">
    <w:name w:val="heading 1"/>
    <w:basedOn w:val="Standard"/>
    <w:next w:val="Standard"/>
    <w:link w:val="berschrift1Zchn"/>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berschrift2">
    <w:name w:val="heading 2"/>
    <w:basedOn w:val="Standard"/>
    <w:next w:val="Standard"/>
    <w:link w:val="berschrift2Zchn"/>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berschrift3">
    <w:name w:val="heading 3"/>
    <w:basedOn w:val="Standard"/>
    <w:next w:val="Standard"/>
    <w:link w:val="berschrift3Zchn"/>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berschrift4">
    <w:name w:val="heading 4"/>
    <w:basedOn w:val="Standard"/>
    <w:next w:val="Standard"/>
    <w:link w:val="berschrift4Zchn"/>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berschrift5">
    <w:name w:val="heading 5"/>
    <w:basedOn w:val="Standard"/>
    <w:next w:val="Standard"/>
    <w:link w:val="berschrift5Zchn"/>
    <w:uiPriority w:val="9"/>
    <w:unhideWhenUsed/>
    <w:qFormat/>
    <w:pPr>
      <w:keepNext/>
      <w:keepLines/>
      <w:spacing w:before="80" w:after="40"/>
      <w:outlineLvl w:val="4"/>
    </w:pPr>
    <w:rPr>
      <w:rFonts w:ascii="Arial" w:eastAsia="Arial" w:hAnsi="Arial" w:cs="Arial"/>
      <w:color w:val="2E74B5" w:themeColor="accent1" w:themeShade="BF"/>
    </w:rPr>
  </w:style>
  <w:style w:type="paragraph" w:styleId="berschrift6">
    <w:name w:val="heading 6"/>
    <w:basedOn w:val="Standard"/>
    <w:next w:val="Standard"/>
    <w:link w:val="berschrift6Zchn"/>
    <w:uiPriority w:val="9"/>
    <w:unhideWhenUsed/>
    <w:qFormat/>
    <w:pPr>
      <w:keepNext/>
      <w:keepLines/>
      <w:spacing w:before="40" w:after="0"/>
      <w:outlineLvl w:val="5"/>
    </w:pPr>
    <w:rPr>
      <w:rFonts w:ascii="Arial" w:eastAsia="Arial" w:hAnsi="Arial" w:cs="Arial"/>
      <w:i/>
      <w:iCs/>
      <w:color w:val="595959" w:themeColor="text1" w:themeTint="A6"/>
    </w:rPr>
  </w:style>
  <w:style w:type="paragraph" w:styleId="berschrift7">
    <w:name w:val="heading 7"/>
    <w:basedOn w:val="Standard"/>
    <w:next w:val="Standard"/>
    <w:link w:val="berschrift7Zchn"/>
    <w:uiPriority w:val="9"/>
    <w:unhideWhenUsed/>
    <w:qFormat/>
    <w:pPr>
      <w:keepNext/>
      <w:keepLines/>
      <w:spacing w:before="40" w:after="0"/>
      <w:outlineLvl w:val="6"/>
    </w:pPr>
    <w:rPr>
      <w:rFonts w:ascii="Arial" w:eastAsia="Arial" w:hAnsi="Arial" w:cs="Arial"/>
      <w:color w:val="595959" w:themeColor="text1" w:themeTint="A6"/>
    </w:rPr>
  </w:style>
  <w:style w:type="paragraph" w:styleId="berschrift8">
    <w:name w:val="heading 8"/>
    <w:basedOn w:val="Standard"/>
    <w:next w:val="Standard"/>
    <w:link w:val="berschrift8Zchn"/>
    <w:uiPriority w:val="9"/>
    <w:unhideWhenUsed/>
    <w:qFormat/>
    <w:pPr>
      <w:keepNext/>
      <w:keepLines/>
      <w:spacing w:after="0"/>
      <w:outlineLvl w:val="7"/>
    </w:pPr>
    <w:rPr>
      <w:rFonts w:ascii="Arial" w:eastAsia="Arial" w:hAnsi="Arial" w:cs="Arial"/>
      <w:i/>
      <w:iCs/>
      <w:color w:val="272727" w:themeColor="text1" w:themeTint="D8"/>
    </w:rPr>
  </w:style>
  <w:style w:type="paragraph" w:styleId="berschrift9">
    <w:name w:val="heading 9"/>
    <w:basedOn w:val="Standard"/>
    <w:next w:val="Standard"/>
    <w:link w:val="berschrift9Zchn"/>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color w:val="2E74B5" w:themeColor="accent1" w:themeShade="BF"/>
      <w:sz w:val="40"/>
      <w:szCs w:val="40"/>
    </w:rPr>
  </w:style>
  <w:style w:type="character" w:customStyle="1" w:styleId="berschrift2Zchn">
    <w:name w:val="Überschrift 2 Zchn"/>
    <w:basedOn w:val="Absatz-Standardschriftart"/>
    <w:link w:val="berschrift2"/>
    <w:uiPriority w:val="9"/>
    <w:rPr>
      <w:rFonts w:ascii="Arial" w:eastAsia="Arial" w:hAnsi="Arial" w:cs="Arial"/>
      <w:color w:val="2E74B5" w:themeColor="accent1" w:themeShade="BF"/>
      <w:sz w:val="32"/>
      <w:szCs w:val="32"/>
    </w:rPr>
  </w:style>
  <w:style w:type="character" w:customStyle="1" w:styleId="berschrift3Zchn">
    <w:name w:val="Überschrift 3 Zchn"/>
    <w:basedOn w:val="Absatz-Standardschriftart"/>
    <w:link w:val="berschrift3"/>
    <w:uiPriority w:val="9"/>
    <w:rPr>
      <w:rFonts w:ascii="Arial" w:eastAsia="Arial" w:hAnsi="Arial" w:cs="Arial"/>
      <w:color w:val="2E74B5" w:themeColor="accent1" w:themeShade="BF"/>
      <w:sz w:val="28"/>
      <w:szCs w:val="28"/>
    </w:rPr>
  </w:style>
  <w:style w:type="character" w:customStyle="1" w:styleId="berschrift4Zchn">
    <w:name w:val="Überschrift 4 Zchn"/>
    <w:basedOn w:val="Absatz-Standardschriftart"/>
    <w:link w:val="berschrift4"/>
    <w:uiPriority w:val="9"/>
    <w:rPr>
      <w:rFonts w:ascii="Arial" w:eastAsia="Arial" w:hAnsi="Arial" w:cs="Arial"/>
      <w:i/>
      <w:iCs/>
      <w:color w:val="2E74B5" w:themeColor="accent1" w:themeShade="BF"/>
    </w:rPr>
  </w:style>
  <w:style w:type="character" w:customStyle="1" w:styleId="berschrift5Zchn">
    <w:name w:val="Überschrift 5 Zchn"/>
    <w:basedOn w:val="Absatz-Standardschriftart"/>
    <w:link w:val="berschrift5"/>
    <w:uiPriority w:val="9"/>
    <w:rPr>
      <w:rFonts w:ascii="Arial" w:eastAsia="Arial" w:hAnsi="Arial" w:cs="Arial"/>
      <w:color w:val="2E74B5" w:themeColor="accent1" w:themeShade="BF"/>
    </w:rPr>
  </w:style>
  <w:style w:type="character" w:customStyle="1" w:styleId="berschrift6Zchn">
    <w:name w:val="Überschrift 6 Zchn"/>
    <w:basedOn w:val="Absatz-Standardschriftart"/>
    <w:link w:val="berschrift6"/>
    <w:uiPriority w:val="9"/>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rPr>
      <w:rFonts w:ascii="Arial" w:eastAsia="Arial" w:hAnsi="Arial" w:cs="Arial"/>
      <w:i/>
      <w:iCs/>
      <w:color w:val="272727" w:themeColor="text1" w:themeTint="D8"/>
    </w:rPr>
  </w:style>
  <w:style w:type="character" w:customStyle="1" w:styleId="berschrift9Zchn">
    <w:name w:val="Überschrift 9 Zchn"/>
    <w:basedOn w:val="Absatz-Standardschriftart"/>
    <w:link w:val="berschrift9"/>
    <w:uiPriority w:val="9"/>
    <w:rPr>
      <w:rFonts w:ascii="Arial" w:eastAsia="Arial" w:hAnsi="Arial" w:cs="Arial"/>
      <w:i/>
      <w:iCs/>
      <w:color w:val="272727" w:themeColor="text1" w:themeTint="D8"/>
    </w:rPr>
  </w:style>
  <w:style w:type="character" w:customStyle="1" w:styleId="TitelZchn">
    <w:name w:val="Titel Zchn"/>
    <w:basedOn w:val="Absatz-Standardschriftart"/>
    <w:link w:val="Titel"/>
    <w:uiPriority w:val="10"/>
    <w:rPr>
      <w:rFonts w:ascii="Arial" w:eastAsia="Arial" w:hAnsi="Arial" w:cs="Arial"/>
      <w:spacing w:val="-10"/>
      <w:sz w:val="56"/>
      <w:szCs w:val="56"/>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character" w:customStyle="1" w:styleId="ZitatZchn">
    <w:name w:val="Zitat Zchn"/>
    <w:basedOn w:val="Absatz-Standardschriftart"/>
    <w:link w:val="Zitat"/>
    <w:uiPriority w:val="29"/>
    <w:rPr>
      <w:i/>
      <w:iCs/>
      <w:color w:val="404040" w:themeColor="text1" w:themeTint="BF"/>
    </w:rPr>
  </w:style>
  <w:style w:type="character" w:styleId="IntensiveHervorhebung">
    <w:name w:val="Intense Emphasis"/>
    <w:basedOn w:val="Absatz-Standardschriftart"/>
    <w:uiPriority w:val="21"/>
    <w:qFormat/>
    <w:rPr>
      <w:i/>
      <w:iCs/>
      <w:color w:val="2E74B5" w:themeColor="accent1" w:themeShade="BF"/>
    </w:rPr>
  </w:style>
  <w:style w:type="character" w:customStyle="1" w:styleId="IntensivesZitatZchn">
    <w:name w:val="Intensives Zitat Zchn"/>
    <w:basedOn w:val="Absatz-Standardschriftart"/>
    <w:link w:val="IntensivesZitat"/>
    <w:uiPriority w:val="30"/>
    <w:rPr>
      <w:i/>
      <w:iCs/>
      <w:color w:val="2E74B5" w:themeColor="accent1" w:themeShade="BF"/>
    </w:rPr>
  </w:style>
  <w:style w:type="character" w:styleId="IntensiverVerweis">
    <w:name w:val="Intense Reference"/>
    <w:basedOn w:val="Absatz-Standardschriftart"/>
    <w:uiPriority w:val="32"/>
    <w:qFormat/>
    <w:rPr>
      <w:b/>
      <w:bCs/>
      <w:smallCaps/>
      <w:color w:val="2E74B5" w:themeColor="accent1" w:themeShade="BF"/>
      <w:spacing w:val="5"/>
    </w:r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customStyle="1" w:styleId="KopfzeileZchn">
    <w:name w:val="Kopfzeile Zchn"/>
    <w:basedOn w:val="Absatz-Standardschriftart"/>
    <w:link w:val="Kopfzeile"/>
    <w:uiPriority w:val="99"/>
  </w:style>
  <w:style w:type="character" w:customStyle="1" w:styleId="FuzeileZchn">
    <w:name w:val="Fußzeile Zchn"/>
    <w:basedOn w:val="Absatz-Standardschriftart"/>
    <w:link w:val="Fuzeile"/>
    <w:uiPriority w:val="99"/>
  </w:style>
  <w:style w:type="character" w:customStyle="1" w:styleId="FunotentextZchn">
    <w:name w:val="Fußnotentext Zchn"/>
    <w:basedOn w:val="Absatz-Standardschriftart"/>
    <w:link w:val="Funotentext"/>
    <w:uiPriority w:val="99"/>
    <w:semiHidden/>
    <w:rPr>
      <w:sz w:val="20"/>
      <w:szCs w:val="20"/>
    </w:rPr>
  </w:style>
  <w:style w:type="character" w:customStyle="1" w:styleId="FootnoteCharacters">
    <w:name w:val="Footnote Characters"/>
    <w:basedOn w:val="Absatz-Standardschriftart"/>
    <w:uiPriority w:val="99"/>
    <w:semiHidden/>
    <w:unhideWhenUsed/>
    <w:rPr>
      <w:vertAlign w:val="superscript"/>
    </w:rPr>
  </w:style>
  <w:style w:type="character" w:styleId="Funotenzeichen">
    <w:name w:val="footnote reference"/>
    <w:rPr>
      <w:vertAlign w:val="superscript"/>
    </w:rPr>
  </w:style>
  <w:style w:type="character" w:customStyle="1" w:styleId="EndnotentextZchn">
    <w:name w:val="Endnotentext Zchn"/>
    <w:basedOn w:val="Absatz-Standardschriftart"/>
    <w:link w:val="Endnotentext"/>
    <w:uiPriority w:val="99"/>
    <w:semiHidden/>
    <w:rPr>
      <w:sz w:val="20"/>
      <w:szCs w:val="20"/>
    </w:rPr>
  </w:style>
  <w:style w:type="character" w:customStyle="1" w:styleId="EndnoteCharacters">
    <w:name w:val="Endnote Characters"/>
    <w:basedOn w:val="Absatz-Standardschriftart"/>
    <w:uiPriority w:val="99"/>
    <w:semiHidden/>
    <w:unhideWhenUsed/>
    <w:rPr>
      <w:vertAlign w:val="superscript"/>
    </w:rPr>
  </w:style>
  <w:style w:type="character" w:styleId="Endnotenzeichen">
    <w:name w:val="endnote reference"/>
    <w:rPr>
      <w:vertAlign w:val="superscript"/>
    </w:rPr>
  </w:style>
  <w:style w:type="character" w:styleId="Hyperlink">
    <w:name w:val="Hyperlink"/>
    <w:basedOn w:val="Absatz-Standardschriftart"/>
    <w:uiPriority w:val="99"/>
    <w:unhideWhenUsed/>
    <w:rPr>
      <w:color w:val="0563C1" w:themeColor="hyperlink"/>
      <w:u w:val="single"/>
    </w:rPr>
  </w:style>
  <w:style w:type="character" w:styleId="BesuchterLink">
    <w:name w:val="FollowedHyperlink"/>
    <w:basedOn w:val="Absatz-Standardschriftart"/>
    <w:uiPriority w:val="99"/>
    <w:semiHidden/>
    <w:unhideWhenUsed/>
    <w:rPr>
      <w:color w:val="954F72" w:themeColor="followedHyperlink"/>
      <w:u w:val="single"/>
    </w:rPr>
  </w:style>
  <w:style w:type="paragraph" w:customStyle="1" w:styleId="Heading">
    <w:name w:val="Heading"/>
    <w:basedOn w:val="Standard"/>
    <w:next w:val="Textkrper"/>
    <w:pPr>
      <w:keepNext/>
      <w:spacing w:before="240" w:after="120"/>
    </w:pPr>
    <w:rPr>
      <w:rFonts w:ascii="Carlito" w:eastAsia="Noto Sans SC Regular" w:hAnsi="Carlito" w:cs="Noto Sans"/>
      <w:sz w:val="28"/>
      <w:szCs w:val="28"/>
    </w:rPr>
  </w:style>
  <w:style w:type="paragraph" w:styleId="Textkrper">
    <w:name w:val="Body Text"/>
    <w:basedOn w:val="Standard"/>
    <w:pPr>
      <w:spacing w:after="140"/>
    </w:pPr>
  </w:style>
  <w:style w:type="paragraph" w:styleId="Liste">
    <w:name w:val="List"/>
    <w:basedOn w:val="Textkrper"/>
    <w:rPr>
      <w:rFonts w:cs="Noto Sans"/>
    </w:rPr>
  </w:style>
  <w:style w:type="paragraph" w:styleId="Beschriftung">
    <w:name w:val="caption"/>
    <w:basedOn w:val="Standard"/>
    <w:next w:val="Standard"/>
    <w:uiPriority w:val="35"/>
    <w:unhideWhenUsed/>
    <w:qFormat/>
    <w:pPr>
      <w:spacing w:line="240" w:lineRule="auto"/>
    </w:pPr>
    <w:rPr>
      <w:i/>
      <w:iCs/>
      <w:color w:val="44546A" w:themeColor="text2"/>
      <w:sz w:val="18"/>
      <w:szCs w:val="18"/>
    </w:rPr>
  </w:style>
  <w:style w:type="paragraph" w:customStyle="1" w:styleId="Index">
    <w:name w:val="Index"/>
    <w:basedOn w:val="Standard"/>
    <w:pPr>
      <w:suppressLineNumbers/>
    </w:pPr>
    <w:rPr>
      <w:rFonts w:cs="Noto Sans"/>
    </w:rPr>
  </w:style>
  <w:style w:type="paragraph" w:styleId="Titel">
    <w:name w:val="Title"/>
    <w:basedOn w:val="Standard"/>
    <w:next w:val="Standard"/>
    <w:link w:val="TitelZchn"/>
    <w:uiPriority w:val="10"/>
    <w:qFormat/>
    <w:pPr>
      <w:spacing w:after="80" w:line="240" w:lineRule="auto"/>
      <w:contextualSpacing/>
    </w:pPr>
    <w:rPr>
      <w:rFonts w:ascii="Arial" w:eastAsia="Arial" w:hAnsi="Arial" w:cs="Arial"/>
      <w:spacing w:val="-10"/>
      <w:sz w:val="56"/>
      <w:szCs w:val="56"/>
    </w:rPr>
  </w:style>
  <w:style w:type="paragraph" w:styleId="Untertitel">
    <w:name w:val="Subtitle"/>
    <w:basedOn w:val="Standard"/>
    <w:next w:val="Standard"/>
    <w:link w:val="UntertitelZchn"/>
    <w:uiPriority w:val="11"/>
    <w:qFormat/>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paragraph" w:styleId="IntensivesZitat">
    <w:name w:val="Intense Quote"/>
    <w:basedOn w:val="Standard"/>
    <w:next w:val="Standard"/>
    <w:link w:val="IntensivesZitatZchn"/>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paragraph" w:customStyle="1" w:styleId="HeaderandFooter">
    <w:name w:val="Header and Footer"/>
    <w:basedOn w:val="Standard"/>
  </w:style>
  <w:style w:type="paragraph" w:styleId="Kopfzeile">
    <w:name w:val="header"/>
    <w:basedOn w:val="Standard"/>
    <w:link w:val="KopfzeileZchn"/>
    <w:uiPriority w:val="99"/>
    <w:unhideWhenUsed/>
    <w:pPr>
      <w:tabs>
        <w:tab w:val="center" w:pos="4844"/>
        <w:tab w:val="right" w:pos="9689"/>
      </w:tabs>
      <w:spacing w:after="0" w:line="240" w:lineRule="auto"/>
    </w:pPr>
  </w:style>
  <w:style w:type="paragraph" w:styleId="Fuzeile">
    <w:name w:val="footer"/>
    <w:basedOn w:val="Standard"/>
    <w:link w:val="FuzeileZchn"/>
    <w:uiPriority w:val="99"/>
    <w:unhideWhenUsed/>
    <w:pPr>
      <w:tabs>
        <w:tab w:val="center" w:pos="4844"/>
        <w:tab w:val="right" w:pos="9689"/>
      </w:tabs>
      <w:spacing w:after="0" w:line="240" w:lineRule="auto"/>
    </w:pPr>
  </w:style>
  <w:style w:type="paragraph" w:styleId="Funotentext">
    <w:name w:val="footnote text"/>
    <w:basedOn w:val="Standard"/>
    <w:link w:val="FunotentextZchn"/>
    <w:uiPriority w:val="99"/>
    <w:semiHidden/>
    <w:unhideWhenUsed/>
    <w:pPr>
      <w:spacing w:after="0" w:line="240" w:lineRule="auto"/>
    </w:pPr>
    <w:rPr>
      <w:sz w:val="20"/>
      <w:szCs w:val="20"/>
    </w:rPr>
  </w:style>
  <w:style w:type="paragraph" w:styleId="Endnotentext">
    <w:name w:val="endnote text"/>
    <w:basedOn w:val="Standard"/>
    <w:link w:val="EndnotentextZchn"/>
    <w:uiPriority w:val="99"/>
    <w:semiHidden/>
    <w:unhideWhenUsed/>
    <w:pPr>
      <w:spacing w:after="0" w:line="240" w:lineRule="auto"/>
    </w:pPr>
    <w:rPr>
      <w:sz w:val="20"/>
      <w:szCs w:val="20"/>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paragraph" w:styleId="Indexberschrift">
    <w:name w:val="index heading"/>
    <w:basedOn w:val="Heading"/>
  </w:style>
  <w:style w:type="paragraph" w:styleId="Inhaltsverzeichnisberschrift">
    <w:name w:val="TOC Heading"/>
    <w:uiPriority w:val="39"/>
    <w:unhideWhenUsed/>
    <w:pPr>
      <w:spacing w:after="200" w:line="276" w:lineRule="auto"/>
    </w:pPr>
  </w:style>
  <w:style w:type="paragraph" w:styleId="Abbildungsverzeichnis">
    <w:name w:val="table of figures"/>
    <w:basedOn w:val="Standard"/>
    <w:next w:val="Standard"/>
    <w:uiPriority w:val="99"/>
    <w:unhideWhenUsed/>
    <w:pPr>
      <w:spacing w:after="0"/>
    </w:pPr>
  </w:style>
  <w:style w:type="paragraph" w:styleId="KeinLeerraum">
    <w:name w:val="No Spacing"/>
    <w:basedOn w:val="Standard"/>
    <w:uiPriority w:val="1"/>
    <w:qFormat/>
    <w:pPr>
      <w:spacing w:after="0" w:line="240" w:lineRule="auto"/>
    </w:pPr>
  </w:style>
  <w:style w:type="paragraph" w:styleId="Listenabsatz">
    <w:name w:val="List Paragraph"/>
    <w:basedOn w:val="Standard"/>
    <w:uiPriority w:val="34"/>
    <w:qFormat/>
    <w:pPr>
      <w:ind w:left="720"/>
      <w:contextualSpacing/>
    </w:pPr>
  </w:style>
  <w:style w:type="paragraph" w:customStyle="1" w:styleId="Textneu">
    <w:name w:val="Text neu"/>
    <w:qFormat/>
    <w:pPr>
      <w:spacing w:before="60" w:after="60"/>
      <w:jc w:val="both"/>
    </w:pPr>
    <w:rPr>
      <w:rFonts w:ascii="Arial Narrow" w:eastAsia="Times New Roman" w:hAnsi="Arial Narrow" w:cs="Arial Narrow"/>
      <w:color w:val="000000"/>
      <w:sz w:val="23"/>
      <w:szCs w:val="23"/>
      <w:lang w:val="de-DE" w:eastAsia="zh-CN"/>
    </w:rPr>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rPr>
      <w:tblPr/>
      <w:tcPr>
        <w:tcBorders>
          <w:bottom w:val="single" w:sz="12" w:space="0" w:color="5B9BD5"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rPr>
      <w:tblPr/>
      <w:tcPr>
        <w:tcBorders>
          <w:bottom w:val="single" w:sz="12" w:space="0" w:color="ED7D31"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rPr>
      <w:tblPr/>
      <w:tcPr>
        <w:tcBorders>
          <w:bottom w:val="single" w:sz="12" w:space="0" w:color="A5A5A5"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rPr>
      <w:tblPr/>
      <w:tcPr>
        <w:tcBorders>
          <w:bottom w:val="single" w:sz="12" w:space="0" w:color="FFC000"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rPr>
      <w:tblPr/>
      <w:tcPr>
        <w:tcBorders>
          <w:bottom w:val="single" w:sz="12" w:space="0" w:color="4472C4"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rPr>
      <w:tblPr/>
      <w:tcPr>
        <w:tcBorders>
          <w:bottom w:val="single" w:sz="12" w:space="0" w:color="70AD47"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DEAF6" w:fill="DDEAF6" w:themeFill="accent1" w:themeFillTint="34"/>
      </w:tcPr>
    </w:tblStylePr>
    <w:tblStylePr w:type="band1Horz">
      <w:rPr>
        <w:sz w:val="22"/>
      </w:rPr>
      <w:tblPr/>
      <w:tcPr>
        <w:shd w:val="clear" w:color="DDEAF6" w:fill="DDEAF6"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DEAF6" w:fill="DDEAF6" w:themeFill="accent1" w:themeFillTint="34"/>
      </w:tcPr>
    </w:tblStylePr>
    <w:tblStylePr w:type="band1Horz">
      <w:rPr>
        <w:sz w:val="22"/>
      </w:rPr>
      <w:tblPr/>
      <w:tcPr>
        <w:shd w:val="clear" w:color="DDEAF6" w:fill="DDEAF6"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rPr>
      <w:tblPr/>
      <w:tcPr>
        <w:tcBorders>
          <w:top w:val="single" w:sz="4" w:space="0" w:color="5B9BD5" w:themeColor="accent1"/>
        </w:tcBorders>
      </w:tcPr>
    </w:tblStylePr>
    <w:tblStylePr w:type="firstCol">
      <w:rPr>
        <w:b/>
      </w:rPr>
    </w:tblStylePr>
    <w:tblStylePr w:type="lastCol">
      <w:rPr>
        <w:b/>
      </w:rPr>
    </w:tblStylePr>
    <w:tblStylePr w:type="band1Vert">
      <w:rPr>
        <w:sz w:val="22"/>
      </w:rPr>
      <w:tblPr/>
      <w:tcPr>
        <w:shd w:val="clear" w:color="DEEBF6" w:fill="DEEBF6" w:themeFill="accent1" w:themeFillTint="32"/>
      </w:tcPr>
    </w:tblStylePr>
    <w:tblStylePr w:type="band1Horz">
      <w:rPr>
        <w:sz w:val="22"/>
      </w:rPr>
      <w:tblPr/>
      <w:tcPr>
        <w:shd w:val="clear" w:color="DEEBF6" w:fill="DEEBF6"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rPr>
      <w:tblPr/>
      <w:tcPr>
        <w:tcBorders>
          <w:top w:val="single" w:sz="4" w:space="0" w:color="ED7D31" w:themeColor="accent2"/>
        </w:tcBorders>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rPr>
      <w:tblPr/>
      <w:tcPr>
        <w:tcBorders>
          <w:top w:val="single" w:sz="4" w:space="0" w:color="A5A5A5" w:themeColor="accent3"/>
        </w:tcBorders>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rPr>
      <w:tblPr/>
      <w:tcPr>
        <w:tcBorders>
          <w:top w:val="single" w:sz="4" w:space="0" w:color="FFC000" w:themeColor="accent4"/>
        </w:tcBorders>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rPr>
      <w:tblPr/>
      <w:tcPr>
        <w:tcBorders>
          <w:top w:val="single" w:sz="4" w:space="0" w:color="4472C4" w:themeColor="accent5"/>
        </w:tcBorders>
      </w:tcPr>
    </w:tblStylePr>
    <w:tblStylePr w:type="firstCol">
      <w:rPr>
        <w:b/>
      </w:rPr>
    </w:tblStylePr>
    <w:tblStylePr w:type="lastCol">
      <w:rPr>
        <w:b/>
      </w:r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rPr>
      <w:tblPr/>
      <w:tcPr>
        <w:tcBorders>
          <w:top w:val="single" w:sz="4" w:space="0" w:color="70AD47" w:themeColor="accent6"/>
        </w:tcBorders>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5B9BD5" w:fill="5B9BD5" w:themeFill="accent1"/>
      </w:tcPr>
    </w:tblStylePr>
    <w:tblStylePr w:type="lastRow">
      <w:rPr>
        <w:b/>
        <w:sz w:val="22"/>
      </w:rPr>
      <w:tblPr/>
      <w:tcPr>
        <w:tcBorders>
          <w:top w:val="single" w:sz="4" w:space="0" w:color="FFFFFF" w:themeColor="light1"/>
        </w:tcBorders>
        <w:shd w:val="clear" w:color="5B9BD5" w:fill="5B9BD5" w:themeFill="accent1"/>
      </w:tcPr>
    </w:tblStylePr>
    <w:tblStylePr w:type="firstCol">
      <w:rPr>
        <w:b/>
        <w:sz w:val="22"/>
      </w:rPr>
      <w:tblPr/>
      <w:tcPr>
        <w:shd w:val="clear" w:color="5B9BD5" w:fill="5B9BD5" w:themeFill="accent1"/>
      </w:tcPr>
    </w:tblStylePr>
    <w:tblStylePr w:type="lastCol">
      <w:rPr>
        <w:b/>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ED7D31" w:fill="ED7D31" w:themeFill="accent2"/>
      </w:tcPr>
    </w:tblStylePr>
    <w:tblStylePr w:type="lastRow">
      <w:rPr>
        <w:b/>
        <w:sz w:val="22"/>
      </w:rPr>
      <w:tblPr/>
      <w:tcPr>
        <w:tcBorders>
          <w:top w:val="single" w:sz="4" w:space="0" w:color="FFFFFF" w:themeColor="light1"/>
        </w:tcBorders>
        <w:shd w:val="clear" w:color="ED7D31" w:fill="ED7D31" w:themeFill="accent2"/>
      </w:tcPr>
    </w:tblStylePr>
    <w:tblStylePr w:type="firstCol">
      <w:rPr>
        <w:b/>
        <w:sz w:val="22"/>
      </w:rPr>
      <w:tblPr/>
      <w:tcPr>
        <w:shd w:val="clear" w:color="ED7D31" w:fill="ED7D31" w:themeFill="accent2"/>
      </w:tcPr>
    </w:tblStylePr>
    <w:tblStylePr w:type="lastCol">
      <w:rPr>
        <w:b/>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5A5A5" w:fill="A5A5A5" w:themeFill="accent3"/>
      </w:tcPr>
    </w:tblStylePr>
    <w:tblStylePr w:type="lastRow">
      <w:rPr>
        <w:b/>
        <w:sz w:val="22"/>
      </w:rPr>
      <w:tblPr/>
      <w:tcPr>
        <w:tcBorders>
          <w:top w:val="single" w:sz="4" w:space="0" w:color="FFFFFF" w:themeColor="light1"/>
        </w:tcBorders>
        <w:shd w:val="clear" w:color="A5A5A5" w:fill="A5A5A5" w:themeFill="accent3"/>
      </w:tcPr>
    </w:tblStylePr>
    <w:tblStylePr w:type="firstCol">
      <w:rPr>
        <w:b/>
        <w:sz w:val="22"/>
      </w:rPr>
      <w:tblPr/>
      <w:tcPr>
        <w:shd w:val="clear" w:color="A5A5A5" w:fill="A5A5A5" w:themeFill="accent3"/>
      </w:tcPr>
    </w:tblStylePr>
    <w:tblStylePr w:type="lastCol">
      <w:rPr>
        <w:b/>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C000" w:fill="FFC000" w:themeFill="accent4"/>
      </w:tcPr>
    </w:tblStylePr>
    <w:tblStylePr w:type="lastRow">
      <w:rPr>
        <w:b/>
        <w:sz w:val="22"/>
      </w:rPr>
      <w:tblPr/>
      <w:tcPr>
        <w:tcBorders>
          <w:top w:val="single" w:sz="4" w:space="0" w:color="FFFFFF" w:themeColor="light1"/>
        </w:tcBorders>
        <w:shd w:val="clear" w:color="FFC000" w:fill="FFC000" w:themeFill="accent4"/>
      </w:tcPr>
    </w:tblStylePr>
    <w:tblStylePr w:type="firstCol">
      <w:rPr>
        <w:b/>
        <w:sz w:val="22"/>
      </w:rPr>
      <w:tblPr/>
      <w:tcPr>
        <w:shd w:val="clear" w:color="FFC000" w:fill="FFC000" w:themeFill="accent4"/>
      </w:tcPr>
    </w:tblStylePr>
    <w:tblStylePr w:type="lastCol">
      <w:rPr>
        <w:b/>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472C4" w:fill="4472C4" w:themeFill="accent5"/>
      </w:tcPr>
    </w:tblStylePr>
    <w:tblStylePr w:type="lastRow">
      <w:rPr>
        <w:b/>
        <w:sz w:val="22"/>
      </w:rPr>
      <w:tblPr/>
      <w:tcPr>
        <w:tcBorders>
          <w:top w:val="single" w:sz="4" w:space="0" w:color="FFFFFF" w:themeColor="light1"/>
        </w:tcBorders>
        <w:shd w:val="clear" w:color="4472C4" w:fill="4472C4" w:themeFill="accent5"/>
      </w:tcPr>
    </w:tblStylePr>
    <w:tblStylePr w:type="firstCol">
      <w:rPr>
        <w:b/>
        <w:sz w:val="22"/>
      </w:rPr>
      <w:tblPr/>
      <w:tcPr>
        <w:shd w:val="clear" w:color="4472C4" w:fill="4472C4" w:themeFill="accent5"/>
      </w:tcPr>
    </w:tblStylePr>
    <w:tblStylePr w:type="lastCol">
      <w:rPr>
        <w:b/>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70AD47" w:fill="70AD47" w:themeFill="accent6"/>
      </w:tcPr>
    </w:tblStylePr>
    <w:tblStylePr w:type="lastRow">
      <w:rPr>
        <w:b/>
        <w:sz w:val="22"/>
      </w:rPr>
      <w:tblPr/>
      <w:tcPr>
        <w:tcBorders>
          <w:top w:val="single" w:sz="4" w:space="0" w:color="FFFFFF" w:themeColor="light1"/>
        </w:tcBorders>
        <w:shd w:val="clear" w:color="70AD47" w:fill="70AD47" w:themeFill="accent6"/>
      </w:tcPr>
    </w:tblStylePr>
    <w:tblStylePr w:type="firstCol">
      <w:rPr>
        <w:b/>
        <w:sz w:val="22"/>
      </w:rPr>
      <w:tblPr/>
      <w:tcPr>
        <w:shd w:val="clear" w:color="70AD47" w:fill="70AD47" w:themeFill="accent6"/>
      </w:tcPr>
    </w:tblStylePr>
    <w:tblStylePr w:type="lastCol">
      <w:rPr>
        <w:b/>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CCCEA" w:themeColor="accent1" w:themeTint="80"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54175" w:themeColor="accent5"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254175" w:themeColor="accent5"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416429" w:themeColor="accent6"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416429" w:themeColor="accent6"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5E5F4" w:fill="D5E5F4" w:themeFill="accent1" w:themeFillTint="40"/>
      </w:tcPr>
    </w:tblStylePr>
    <w:tblStylePr w:type="band1Horz">
      <w:rPr>
        <w:sz w:val="22"/>
      </w:rPr>
      <w:tblPr/>
      <w:tcPr>
        <w:shd w:val="clear" w:color="D5E5F4" w:fill="D5E5F4"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CFDBF0" w:fill="CFDBF0" w:themeFill="accent5" w:themeFillTint="40"/>
      </w:tcPr>
    </w:tblStylePr>
    <w:tblStylePr w:type="band1Horz">
      <w:rPr>
        <w:sz w:val="22"/>
      </w:rPr>
      <w:tblPr/>
      <w:tcPr>
        <w:shd w:val="clear" w:color="CFDBF0" w:fill="CFDB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sz w:val="22"/>
      </w:rPr>
      <w:tblPr/>
      <w:tcPr>
        <w:shd w:val="clear" w:color="5B9BD5" w:fill="5B9BD5"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5B9BD5" w:themeColor="accent1"/>
          <w:right w:val="single" w:sz="4" w:space="0" w:color="5B9BD5" w:themeColor="accent1"/>
        </w:tcBorders>
      </w:tcPr>
    </w:tblStylePr>
    <w:tblStylePr w:type="band1Horz">
      <w:rPr>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sz w:val="22"/>
      </w:rPr>
      <w:tblPr/>
      <w:tcPr>
        <w:shd w:val="clear" w:color="F4B184" w:fill="F4B184"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ED7D31" w:themeColor="accent2"/>
          <w:right w:val="single" w:sz="4" w:space="0" w:color="ED7D31" w:themeColor="accent2"/>
        </w:tcBorders>
      </w:tcPr>
    </w:tblStylePr>
    <w:tblStylePr w:type="band1Horz">
      <w:rPr>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sz w:val="22"/>
      </w:rPr>
      <w:tblPr/>
      <w:tcPr>
        <w:shd w:val="clear" w:color="C9C9C9" w:fill="C9C9C9"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A5A5A5" w:themeColor="accent3"/>
          <w:right w:val="single" w:sz="4" w:space="0" w:color="A5A5A5" w:themeColor="accent3"/>
        </w:tcBorders>
      </w:tcPr>
    </w:tblStylePr>
    <w:tblStylePr w:type="band1Horz">
      <w:rPr>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sz w:val="22"/>
      </w:rPr>
      <w:tblPr/>
      <w:tcPr>
        <w:shd w:val="clear" w:color="FFD865" w:fill="FFD865"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FFC000" w:themeColor="accent4"/>
          <w:right w:val="single" w:sz="4" w:space="0" w:color="FFC000" w:themeColor="accent4"/>
        </w:tcBorders>
      </w:tcPr>
    </w:tblStylePr>
    <w:tblStylePr w:type="band1Horz">
      <w:rPr>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sz w:val="22"/>
      </w:rPr>
      <w:tblPr/>
      <w:tcPr>
        <w:shd w:val="clear" w:color="8DA9DB" w:fill="8DA9DB"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472C4" w:themeColor="accent5"/>
          <w:right w:val="single" w:sz="4" w:space="0" w:color="4472C4" w:themeColor="accent5"/>
        </w:tcBorders>
      </w:tcPr>
    </w:tblStylePr>
    <w:tblStylePr w:type="band1Horz">
      <w:rPr>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sz w:val="22"/>
      </w:rPr>
      <w:tblPr/>
      <w:tcPr>
        <w:shd w:val="clear" w:color="A9D08E" w:fill="A9D08E"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70AD47" w:themeColor="accent6"/>
          <w:right w:val="single" w:sz="4" w:space="0" w:color="70AD47" w:themeColor="accent6"/>
        </w:tcBorders>
      </w:tcPr>
    </w:tblStylePr>
    <w:tblStylePr w:type="band1Horz">
      <w:rPr>
        <w:sz w:val="22"/>
      </w:rPr>
      <w:tblPr/>
      <w:tcPr>
        <w:tcBorders>
          <w:top w:val="single" w:sz="4" w:space="0" w:color="70AD47" w:themeColor="accent6"/>
          <w:bottom w:val="single" w:sz="4" w:space="0" w:color="70AD47" w:themeColor="accent6"/>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sz w:val="22"/>
      </w:rPr>
      <w:tblPr/>
      <w:tcPr>
        <w:shd w:val="clear" w:color="5B9BD5" w:fill="5B9BD5" w:themeFill="accent1"/>
      </w:tcPr>
    </w:tblStylePr>
    <w:tblStylePr w:type="lastRow">
      <w:rPr>
        <w:b/>
      </w:rPr>
    </w:tblStylePr>
    <w:tblStylePr w:type="firstCol">
      <w:rPr>
        <w:b/>
      </w:rPr>
    </w:tblStylePr>
    <w:tblStylePr w:type="lastCol">
      <w:rPr>
        <w:b/>
      </w:rPr>
    </w:tblStylePr>
    <w:tblStylePr w:type="band1Vert">
      <w:rPr>
        <w:sz w:val="22"/>
      </w:rPr>
      <w:tblPr/>
      <w:tcPr>
        <w:shd w:val="clear" w:color="D5E5F4" w:fill="D5E5F4" w:themeFill="accent1" w:themeFillTint="40"/>
      </w:tcPr>
    </w:tblStylePr>
    <w:tblStylePr w:type="band1Horz">
      <w:rPr>
        <w:sz w:val="22"/>
      </w:rPr>
      <w:tblPr/>
      <w:tcPr>
        <w:shd w:val="clear" w:color="D5E5F4" w:fill="D5E5F4"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sz w:val="22"/>
      </w:rPr>
      <w:tblPr/>
      <w:tcPr>
        <w:shd w:val="clear" w:color="ED7D31" w:fill="ED7D31" w:themeFill="accent2"/>
      </w:tcPr>
    </w:tblStylePr>
    <w:tblStylePr w:type="lastRow">
      <w:rPr>
        <w:b/>
      </w:rPr>
    </w:tblStylePr>
    <w:tblStylePr w:type="firstCol">
      <w:rPr>
        <w:b/>
      </w:rPr>
    </w:tblStylePr>
    <w:tblStylePr w:type="lastCol">
      <w:rPr>
        <w:b/>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sz w:val="22"/>
      </w:rPr>
      <w:tblPr/>
      <w:tcPr>
        <w:shd w:val="clear" w:color="A5A5A5" w:fill="A5A5A5" w:themeFill="accent3"/>
      </w:tcPr>
    </w:tblStylePr>
    <w:tblStylePr w:type="lastRow">
      <w:rPr>
        <w:b/>
      </w:rPr>
    </w:tblStylePr>
    <w:tblStylePr w:type="firstCol">
      <w:rPr>
        <w:b/>
      </w:rPr>
    </w:tblStylePr>
    <w:tblStylePr w:type="lastCol">
      <w:rPr>
        <w:b/>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sz w:val="22"/>
      </w:rPr>
      <w:tblPr/>
      <w:tcPr>
        <w:shd w:val="clear" w:color="FFC000" w:fill="FFC000" w:themeFill="accent4"/>
      </w:tcPr>
    </w:tblStylePr>
    <w:tblStylePr w:type="lastRow">
      <w:rPr>
        <w:b/>
      </w:rPr>
    </w:tblStylePr>
    <w:tblStylePr w:type="firstCol">
      <w:rPr>
        <w:b/>
      </w:rPr>
    </w:tblStylePr>
    <w:tblStylePr w:type="lastCol">
      <w:rPr>
        <w:b/>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sz w:val="22"/>
      </w:rPr>
      <w:tblPr/>
      <w:tcPr>
        <w:shd w:val="clear" w:color="4472C4" w:fill="4472C4" w:themeFill="accent5"/>
      </w:tcPr>
    </w:tblStylePr>
    <w:tblStylePr w:type="lastRow">
      <w:rPr>
        <w:b/>
      </w:rPr>
    </w:tblStylePr>
    <w:tblStylePr w:type="firstCol">
      <w:rPr>
        <w:b/>
      </w:rPr>
    </w:tblStylePr>
    <w:tblStylePr w:type="lastCol">
      <w:rPr>
        <w:b/>
      </w:rPr>
    </w:tblStylePr>
    <w:tblStylePr w:type="band1Vert">
      <w:rPr>
        <w:sz w:val="22"/>
      </w:rPr>
      <w:tblPr/>
      <w:tcPr>
        <w:shd w:val="clear" w:color="CFDBF0" w:fill="CFDBF0" w:themeFill="accent5" w:themeFillTint="40"/>
      </w:tcPr>
    </w:tblStylePr>
    <w:tblStylePr w:type="band1Horz">
      <w:rPr>
        <w:sz w:val="22"/>
      </w:rPr>
      <w:tblPr/>
      <w:tcPr>
        <w:shd w:val="clear" w:color="CFDBF0" w:fill="CFDB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sz w:val="22"/>
      </w:rPr>
      <w:tblPr/>
      <w:tcPr>
        <w:shd w:val="clear" w:color="70AD47" w:fill="70AD47" w:themeFill="accent6"/>
      </w:tcPr>
    </w:tblStylePr>
    <w:tblStylePr w:type="lastRow">
      <w:rPr>
        <w:b/>
      </w:rPr>
    </w:tblStylePr>
    <w:tblStylePr w:type="firstCol">
      <w:rPr>
        <w:b/>
      </w:rPr>
    </w:tblStylePr>
    <w:tblStylePr w:type="lastCol">
      <w:rPr>
        <w:b/>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9C9C9" w:themeColor="accent3" w:themeTint="98"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8DA9DB" w:themeColor="accent5" w:themeTint="9A"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A9D08E" w:themeColor="accent6" w:themeTint="98"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NormaleTabelle"/>
    <w:uiPriority w:val="99"/>
    <w:rPr>
      <w:sz w:val="20"/>
      <w:szCs w:val="20"/>
      <w:lang w:val="de-DE" w:eastAsia="de-DE"/>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NormaleTabelle"/>
    <w:uiPriority w:val="99"/>
    <w:rPr>
      <w:sz w:val="20"/>
      <w:szCs w:val="20"/>
      <w:lang w:val="de-DE" w:eastAsia="de-DE"/>
    </w:rPr>
    <w:tblPr>
      <w:tblStyleRowBandSize w:val="1"/>
      <w:tblStyleColBandSize w:val="1"/>
    </w:tblPr>
    <w:tblStylePr w:type="firstRow">
      <w:rPr>
        <w:sz w:val="22"/>
      </w:rPr>
      <w:tblPr/>
      <w:tcPr>
        <w:shd w:val="clear" w:color="68A2D8" w:fill="68A2D8" w:themeFill="accent1" w:themeFillTint="EA"/>
      </w:tcPr>
    </w:tblStylePr>
    <w:tblStylePr w:type="lastRow">
      <w:rPr>
        <w:sz w:val="22"/>
      </w:rPr>
      <w:tblPr/>
      <w:tcPr>
        <w:shd w:val="clear" w:color="68A2D8" w:fill="68A2D8" w:themeFill="accent1" w:themeFillTint="EA"/>
      </w:tcPr>
    </w:tblStylePr>
    <w:tblStylePr w:type="firstCol">
      <w:rPr>
        <w:sz w:val="22"/>
      </w:rPr>
      <w:tblPr/>
      <w:tcPr>
        <w:shd w:val="clear" w:color="68A2D8" w:fill="68A2D8" w:themeFill="accent1" w:themeFillTint="EA"/>
      </w:tcPr>
    </w:tblStylePr>
    <w:tblStylePr w:type="lastCol">
      <w:rPr>
        <w:sz w:val="22"/>
      </w:rPr>
      <w:tblPr/>
      <w:tcPr>
        <w:shd w:val="clear" w:color="68A2D8" w:fill="68A2D8" w:themeFill="accent1" w:themeFillTint="EA"/>
      </w:tcPr>
    </w:tblStylePr>
    <w:tblStylePr w:type="band1Vert">
      <w:rPr>
        <w:sz w:val="22"/>
      </w:rPr>
    </w:tblStylePr>
    <w:tblStylePr w:type="band2Vert">
      <w:rPr>
        <w:sz w:val="22"/>
      </w:rPr>
      <w:tblPr/>
      <w:tcPr>
        <w:shd w:val="clear" w:color="CBDFF1" w:fill="CBDFF1" w:themeFill="accent1" w:themeFillTint="50"/>
      </w:tcPr>
    </w:tblStylePr>
    <w:tblStylePr w:type="band1Horz">
      <w:rPr>
        <w:sz w:val="22"/>
      </w:rPr>
    </w:tblStylePr>
    <w:tblStylePr w:type="band2Horz">
      <w:rPr>
        <w:sz w:val="22"/>
      </w:rPr>
      <w:tblPr/>
      <w:tcPr>
        <w:shd w:val="clear" w:color="CBDFF1" w:fill="CBDFF1" w:themeFill="accent1" w:themeFillTint="50"/>
      </w:tcPr>
    </w:tblStylePr>
  </w:style>
  <w:style w:type="table" w:customStyle="1" w:styleId="Lined-Accent2">
    <w:name w:val="Lined - Accent 2"/>
    <w:basedOn w:val="NormaleTabelle"/>
    <w:uiPriority w:val="99"/>
    <w:rPr>
      <w:sz w:val="20"/>
      <w:szCs w:val="20"/>
      <w:lang w:val="de-DE" w:eastAsia="de-DE"/>
    </w:rPr>
    <w:tblPr>
      <w:tblStyleRowBandSize w:val="1"/>
      <w:tblStyleColBandSize w:val="1"/>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Lined-Accent3">
    <w:name w:val="Lined - Accent 3"/>
    <w:basedOn w:val="NormaleTabelle"/>
    <w:uiPriority w:val="99"/>
    <w:rPr>
      <w:sz w:val="20"/>
      <w:szCs w:val="20"/>
      <w:lang w:val="de-DE" w:eastAsia="de-DE"/>
    </w:rPr>
    <w:tblPr>
      <w:tblStyleRowBandSize w:val="1"/>
      <w:tblStyleColBandSize w:val="1"/>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Lined-Accent4">
    <w:name w:val="Lined - Accent 4"/>
    <w:basedOn w:val="NormaleTabelle"/>
    <w:uiPriority w:val="99"/>
    <w:rPr>
      <w:sz w:val="20"/>
      <w:szCs w:val="20"/>
      <w:lang w:val="de-DE" w:eastAsia="de-DE"/>
    </w:rPr>
    <w:tblPr>
      <w:tblStyleRowBandSize w:val="1"/>
      <w:tblStyleColBandSize w:val="1"/>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Lined-Accent5">
    <w:name w:val="Lined - Accent 5"/>
    <w:basedOn w:val="NormaleTabelle"/>
    <w:uiPriority w:val="99"/>
    <w:rPr>
      <w:sz w:val="20"/>
      <w:szCs w:val="20"/>
      <w:lang w:val="de-DE" w:eastAsia="de-DE"/>
    </w:rPr>
    <w:tblPr>
      <w:tblStyleRowBandSize w:val="1"/>
      <w:tblStyleColBandSize w:val="1"/>
    </w:tblPr>
    <w:tblStylePr w:type="firstRow">
      <w:rPr>
        <w:sz w:val="22"/>
      </w:rPr>
      <w:tblPr/>
      <w:tcPr>
        <w:shd w:val="clear" w:color="4472C4" w:fill="4472C4" w:themeFill="accent5"/>
      </w:tcPr>
    </w:tblStylePr>
    <w:tblStylePr w:type="lastRow">
      <w:rPr>
        <w:sz w:val="22"/>
      </w:rPr>
      <w:tblPr/>
      <w:tcPr>
        <w:shd w:val="clear" w:color="4472C4" w:fill="4472C4" w:themeFill="accent5"/>
      </w:tcPr>
    </w:tblStylePr>
    <w:tblStylePr w:type="firstCol">
      <w:rPr>
        <w:sz w:val="22"/>
      </w:rPr>
      <w:tblPr/>
      <w:tcPr>
        <w:shd w:val="clear" w:color="4472C4" w:fill="4472C4" w:themeFill="accent5"/>
      </w:tcPr>
    </w:tblStylePr>
    <w:tblStylePr w:type="lastCol">
      <w:rPr>
        <w:sz w:val="22"/>
      </w:rPr>
      <w:tblPr/>
      <w:tcPr>
        <w:shd w:val="clear" w:color="4472C4" w:fill="4472C4" w:themeFill="accent5"/>
      </w:tcPr>
    </w:tblStylePr>
    <w:tblStylePr w:type="band1Vert">
      <w:rPr>
        <w:sz w:val="22"/>
      </w:rPr>
    </w:tblStylePr>
    <w:tblStylePr w:type="band2Vert">
      <w:rPr>
        <w:sz w:val="22"/>
      </w:rPr>
      <w:tblPr/>
      <w:tcPr>
        <w:shd w:val="clear" w:color="D8E2F3" w:fill="D8E2F3" w:themeFill="accent5" w:themeFillTint="34"/>
      </w:tcPr>
    </w:tblStylePr>
    <w:tblStylePr w:type="band1Horz">
      <w:rPr>
        <w:sz w:val="22"/>
      </w:rPr>
    </w:tblStylePr>
    <w:tblStylePr w:type="band2Horz">
      <w:rPr>
        <w:sz w:val="22"/>
      </w:rPr>
      <w:tblPr/>
      <w:tcPr>
        <w:shd w:val="clear" w:color="D8E2F3" w:fill="D8E2F3" w:themeFill="accent5" w:themeFillTint="34"/>
      </w:tcPr>
    </w:tblStylePr>
  </w:style>
  <w:style w:type="table" w:customStyle="1" w:styleId="Lined-Accent6">
    <w:name w:val="Lined - Accent 6"/>
    <w:basedOn w:val="NormaleTabelle"/>
    <w:uiPriority w:val="99"/>
    <w:rPr>
      <w:sz w:val="20"/>
      <w:szCs w:val="20"/>
      <w:lang w:val="de-DE" w:eastAsia="de-DE"/>
    </w:rPr>
    <w:tblPr>
      <w:tblStyleRowBandSize w:val="1"/>
      <w:tblStyleColBandSize w:val="1"/>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Lined-Accent">
    <w:name w:val="Bordered &amp; Lined - Accent"/>
    <w:basedOn w:val="NormaleTabelle"/>
    <w:uiPriority w:val="99"/>
    <w:rPr>
      <w:sz w:val="20"/>
      <w:szCs w:val="2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NormaleTabelle"/>
    <w:uiPriority w:val="99"/>
    <w:rPr>
      <w:sz w:val="20"/>
      <w:szCs w:val="20"/>
      <w:lang w:val="de-DE"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sz w:val="22"/>
      </w:rPr>
      <w:tblPr/>
      <w:tcPr>
        <w:shd w:val="clear" w:color="68A2D8" w:fill="68A2D8" w:themeFill="accent1" w:themeFillTint="EA"/>
      </w:tcPr>
    </w:tblStylePr>
    <w:tblStylePr w:type="lastRow">
      <w:rPr>
        <w:sz w:val="22"/>
      </w:rPr>
      <w:tblPr/>
      <w:tcPr>
        <w:shd w:val="clear" w:color="68A2D8" w:fill="68A2D8" w:themeFill="accent1" w:themeFillTint="EA"/>
      </w:tcPr>
    </w:tblStylePr>
    <w:tblStylePr w:type="firstCol">
      <w:rPr>
        <w:sz w:val="22"/>
      </w:rPr>
      <w:tblPr/>
      <w:tcPr>
        <w:shd w:val="clear" w:color="68A2D8" w:fill="68A2D8" w:themeFill="accent1" w:themeFillTint="EA"/>
      </w:tcPr>
    </w:tblStylePr>
    <w:tblStylePr w:type="lastCol">
      <w:rPr>
        <w:sz w:val="22"/>
      </w:rPr>
      <w:tblPr/>
      <w:tcPr>
        <w:shd w:val="clear" w:color="68A2D8" w:fill="68A2D8" w:themeFill="accent1" w:themeFillTint="EA"/>
      </w:tcPr>
    </w:tblStylePr>
    <w:tblStylePr w:type="band1Vert">
      <w:rPr>
        <w:sz w:val="22"/>
      </w:rPr>
    </w:tblStylePr>
    <w:tblStylePr w:type="band2Vert">
      <w:rPr>
        <w:sz w:val="22"/>
      </w:rPr>
      <w:tblPr/>
      <w:tcPr>
        <w:shd w:val="clear" w:color="CBDFF1" w:fill="CBDFF1" w:themeFill="accent1" w:themeFillTint="50"/>
      </w:tcPr>
    </w:tblStylePr>
    <w:tblStylePr w:type="band1Horz">
      <w:rPr>
        <w:sz w:val="22"/>
      </w:rPr>
    </w:tblStylePr>
    <w:tblStylePr w:type="band2Horz">
      <w:rPr>
        <w:sz w:val="22"/>
      </w:rPr>
      <w:tblPr/>
      <w:tcPr>
        <w:shd w:val="clear" w:color="CBDFF1" w:fill="CBDFF1" w:themeFill="accent1" w:themeFillTint="50"/>
      </w:tcPr>
    </w:tblStylePr>
  </w:style>
  <w:style w:type="table" w:customStyle="1" w:styleId="BorderedLined-Accent2">
    <w:name w:val="Bordered &amp; Lined - Accent 2"/>
    <w:basedOn w:val="NormaleTabelle"/>
    <w:uiPriority w:val="99"/>
    <w:rPr>
      <w:sz w:val="20"/>
      <w:szCs w:val="20"/>
      <w:lang w:val="de-DE"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BorderedLined-Accent3">
    <w:name w:val="Bordered &amp; Lined - Accent 3"/>
    <w:basedOn w:val="NormaleTabelle"/>
    <w:uiPriority w:val="99"/>
    <w:rPr>
      <w:sz w:val="20"/>
      <w:szCs w:val="20"/>
      <w:lang w:val="de-DE"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BorderedLined-Accent4">
    <w:name w:val="Bordered &amp; Lined - Accent 4"/>
    <w:basedOn w:val="NormaleTabelle"/>
    <w:uiPriority w:val="99"/>
    <w:rPr>
      <w:sz w:val="20"/>
      <w:szCs w:val="20"/>
      <w:lang w:val="de-DE"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BorderedLined-Accent5">
    <w:name w:val="Bordered &amp; Lined - Accent 5"/>
    <w:basedOn w:val="NormaleTabelle"/>
    <w:uiPriority w:val="99"/>
    <w:rPr>
      <w:sz w:val="20"/>
      <w:szCs w:val="20"/>
      <w:lang w:val="de-DE"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sz w:val="22"/>
      </w:rPr>
      <w:tblPr/>
      <w:tcPr>
        <w:shd w:val="clear" w:color="4472C4" w:fill="4472C4" w:themeFill="accent5"/>
      </w:tcPr>
    </w:tblStylePr>
    <w:tblStylePr w:type="lastRow">
      <w:rPr>
        <w:sz w:val="22"/>
      </w:rPr>
      <w:tblPr/>
      <w:tcPr>
        <w:shd w:val="clear" w:color="4472C4" w:fill="4472C4" w:themeFill="accent5"/>
      </w:tcPr>
    </w:tblStylePr>
    <w:tblStylePr w:type="firstCol">
      <w:rPr>
        <w:sz w:val="22"/>
      </w:rPr>
      <w:tblPr/>
      <w:tcPr>
        <w:shd w:val="clear" w:color="4472C4" w:fill="4472C4" w:themeFill="accent5"/>
      </w:tcPr>
    </w:tblStylePr>
    <w:tblStylePr w:type="lastCol">
      <w:rPr>
        <w:sz w:val="22"/>
      </w:rPr>
      <w:tblPr/>
      <w:tcPr>
        <w:shd w:val="clear" w:color="4472C4" w:fill="4472C4" w:themeFill="accent5"/>
      </w:tcPr>
    </w:tblStylePr>
    <w:tblStylePr w:type="band1Vert">
      <w:rPr>
        <w:sz w:val="22"/>
      </w:rPr>
    </w:tblStylePr>
    <w:tblStylePr w:type="band2Vert">
      <w:rPr>
        <w:sz w:val="22"/>
      </w:rPr>
      <w:tblPr/>
      <w:tcPr>
        <w:shd w:val="clear" w:color="D8E2F3" w:fill="D8E2F3" w:themeFill="accent5" w:themeFillTint="34"/>
      </w:tcPr>
    </w:tblStylePr>
    <w:tblStylePr w:type="band1Horz">
      <w:rPr>
        <w:sz w:val="22"/>
      </w:rPr>
    </w:tblStylePr>
    <w:tblStylePr w:type="band2Horz">
      <w:rPr>
        <w:sz w:val="22"/>
      </w:rPr>
      <w:tblPr/>
      <w:tcPr>
        <w:shd w:val="clear" w:color="D8E2F3" w:fill="D8E2F3" w:themeFill="accent5" w:themeFillTint="34"/>
      </w:tcPr>
    </w:tblStylePr>
  </w:style>
  <w:style w:type="table" w:customStyle="1" w:styleId="BorderedLined-Accent6">
    <w:name w:val="Bordered &amp; Lined - Accent 6"/>
    <w:basedOn w:val="NormaleTabelle"/>
    <w:uiPriority w:val="99"/>
    <w:rPr>
      <w:sz w:val="20"/>
      <w:szCs w:val="20"/>
      <w:lang w:val="de-DE"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NormaleTabelle"/>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sz w:val="22"/>
      </w:rPr>
      <w:tblPr/>
      <w:tcPr>
        <w:tcBorders>
          <w:bottom w:val="single" w:sz="12" w:space="0" w:color="5B9BD5" w:themeColor="accent1"/>
        </w:tcBorders>
      </w:tcPr>
    </w:tblStylePr>
    <w:tblStylePr w:type="lastRow">
      <w:rPr>
        <w:sz w:val="22"/>
      </w:rPr>
      <w:tblPr/>
      <w:tcPr>
        <w:tcBorders>
          <w:top w:val="single" w:sz="12" w:space="0" w:color="5B9BD5" w:themeColor="accent1"/>
        </w:tcBorders>
      </w:tcPr>
    </w:tblStylePr>
    <w:tblStylePr w:type="firstCol">
      <w:rPr>
        <w:sz w:val="22"/>
      </w:rPr>
    </w:tblStylePr>
    <w:tblStylePr w:type="lastCol">
      <w:rPr>
        <w:sz w:val="22"/>
      </w:rPr>
      <w:tblPr/>
      <w:tcPr>
        <w:tcBorders>
          <w:left w:val="single" w:sz="12" w:space="0" w:color="5B9BD5" w:themeColor="accent1"/>
        </w:tcBorders>
      </w:tc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sz w:val="22"/>
      </w:rPr>
      <w:tblPr/>
      <w:tcPr>
        <w:tcBorders>
          <w:bottom w:val="single" w:sz="12" w:space="0" w:color="ED7D31" w:themeColor="accent2"/>
        </w:tcBorders>
      </w:tcPr>
    </w:tblStylePr>
    <w:tblStylePr w:type="lastRow">
      <w:rPr>
        <w:sz w:val="22"/>
      </w:rPr>
      <w:tblPr/>
      <w:tcPr>
        <w:tcBorders>
          <w:top w:val="single" w:sz="12" w:space="0" w:color="ED7D31" w:themeColor="accent2"/>
        </w:tcBorders>
      </w:tcPr>
    </w:tblStylePr>
    <w:tblStylePr w:type="firstCol">
      <w:rPr>
        <w:sz w:val="22"/>
      </w:rPr>
    </w:tblStylePr>
    <w:tblStylePr w:type="lastCol">
      <w:rPr>
        <w:sz w:val="22"/>
      </w:rPr>
      <w:tblPr/>
      <w:tcPr>
        <w:tcBorders>
          <w:left w:val="single" w:sz="12" w:space="0" w:color="ED7D31" w:themeColor="accent2"/>
        </w:tcBorders>
      </w:tc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sz w:val="22"/>
      </w:rPr>
      <w:tblPr/>
      <w:tcPr>
        <w:tcBorders>
          <w:bottom w:val="single" w:sz="12" w:space="0" w:color="A5A5A5" w:themeColor="accent3"/>
        </w:tcBorders>
      </w:tcPr>
    </w:tblStylePr>
    <w:tblStylePr w:type="lastRow">
      <w:rPr>
        <w:sz w:val="22"/>
      </w:rPr>
      <w:tblPr/>
      <w:tcPr>
        <w:tcBorders>
          <w:top w:val="single" w:sz="12" w:space="0" w:color="A5A5A5" w:themeColor="accent3"/>
        </w:tcBorders>
      </w:tcPr>
    </w:tblStylePr>
    <w:tblStylePr w:type="firstCol">
      <w:rPr>
        <w:sz w:val="22"/>
      </w:rPr>
    </w:tblStylePr>
    <w:tblStylePr w:type="lastCol">
      <w:rPr>
        <w:sz w:val="22"/>
      </w:rPr>
      <w:tblPr/>
      <w:tcPr>
        <w:tcBorders>
          <w:left w:val="single" w:sz="12" w:space="0" w:color="A5A5A5" w:themeColor="accent3"/>
        </w:tcBorders>
      </w:tc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sz w:val="22"/>
      </w:rPr>
      <w:tblPr/>
      <w:tcPr>
        <w:tcBorders>
          <w:bottom w:val="single" w:sz="12" w:space="0" w:color="FFC000" w:themeColor="accent4"/>
        </w:tcBorders>
      </w:tcPr>
    </w:tblStylePr>
    <w:tblStylePr w:type="lastRow">
      <w:rPr>
        <w:sz w:val="22"/>
      </w:rPr>
      <w:tblPr/>
      <w:tcPr>
        <w:tcBorders>
          <w:top w:val="single" w:sz="12" w:space="0" w:color="FFC000" w:themeColor="accent4"/>
        </w:tcBorders>
      </w:tcPr>
    </w:tblStylePr>
    <w:tblStylePr w:type="firstCol">
      <w:rPr>
        <w:sz w:val="22"/>
      </w:rPr>
    </w:tblStylePr>
    <w:tblStylePr w:type="lastCol">
      <w:rPr>
        <w:sz w:val="22"/>
      </w:rPr>
      <w:tblPr/>
      <w:tcPr>
        <w:tcBorders>
          <w:left w:val="single" w:sz="12" w:space="0" w:color="FFC000" w:themeColor="accent4"/>
        </w:tcBorders>
      </w:tc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NormaleTabelle"/>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sz w:val="22"/>
      </w:rPr>
      <w:tblPr/>
      <w:tcPr>
        <w:tcBorders>
          <w:bottom w:val="single" w:sz="12" w:space="0" w:color="4472C4" w:themeColor="accent5"/>
        </w:tcBorders>
      </w:tcPr>
    </w:tblStylePr>
    <w:tblStylePr w:type="lastRow">
      <w:rPr>
        <w:sz w:val="22"/>
      </w:rPr>
      <w:tblPr/>
      <w:tcPr>
        <w:tcBorders>
          <w:top w:val="single" w:sz="12" w:space="0" w:color="4472C4" w:themeColor="accent5"/>
        </w:tcBorders>
      </w:tcPr>
    </w:tblStylePr>
    <w:tblStylePr w:type="firstCol">
      <w:rPr>
        <w:sz w:val="22"/>
      </w:rPr>
    </w:tblStylePr>
    <w:tblStylePr w:type="lastCol">
      <w:rPr>
        <w:sz w:val="22"/>
      </w:rPr>
      <w:tblPr/>
      <w:tcPr>
        <w:tcBorders>
          <w:left w:val="single" w:sz="12" w:space="0" w:color="4472C4" w:themeColor="accent5"/>
        </w:tcBorders>
      </w:tc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sz w:val="22"/>
      </w:rPr>
      <w:tblPr/>
      <w:tcPr>
        <w:tcBorders>
          <w:bottom w:val="single" w:sz="12" w:space="0" w:color="70AD47" w:themeColor="accent6"/>
        </w:tcBorders>
      </w:tcPr>
    </w:tblStylePr>
    <w:tblStylePr w:type="lastRow">
      <w:rPr>
        <w:sz w:val="22"/>
      </w:rPr>
      <w:tblPr/>
      <w:tcPr>
        <w:tcBorders>
          <w:top w:val="single" w:sz="12" w:space="0" w:color="70AD47" w:themeColor="accent6"/>
        </w:tcBorders>
      </w:tcPr>
    </w:tblStylePr>
    <w:tblStylePr w:type="firstCol">
      <w:rPr>
        <w:sz w:val="22"/>
      </w:rPr>
    </w:tblStylePr>
    <w:tblStylePr w:type="lastCol">
      <w:rPr>
        <w:sz w:val="22"/>
      </w:rPr>
      <w:tblPr/>
      <w:tcPr>
        <w:tcBorders>
          <w:left w:val="single" w:sz="12" w:space="0" w:color="70AD47" w:themeColor="accent6"/>
        </w:tcBorders>
      </w:tc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paragraph" w:styleId="berarbeitung">
    <w:name w:val="Revision"/>
    <w:hidden/>
    <w:uiPriority w:val="99"/>
    <w:semiHidden/>
    <w:rsid w:val="00241A9D"/>
    <w:pPr>
      <w:suppressAutoHyphens w:val="0"/>
    </w:pPr>
  </w:style>
  <w:style w:type="character" w:styleId="NichtaufgelsteErwhnung">
    <w:name w:val="Unresolved Mention"/>
    <w:basedOn w:val="Absatz-Standardschriftart"/>
    <w:uiPriority w:val="99"/>
    <w:semiHidden/>
    <w:unhideWhenUsed/>
    <w:rsid w:val="008203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397775">
      <w:bodyDiv w:val="1"/>
      <w:marLeft w:val="0"/>
      <w:marRight w:val="0"/>
      <w:marTop w:val="0"/>
      <w:marBottom w:val="0"/>
      <w:divBdr>
        <w:top w:val="none" w:sz="0" w:space="0" w:color="auto"/>
        <w:left w:val="none" w:sz="0" w:space="0" w:color="auto"/>
        <w:bottom w:val="none" w:sz="0" w:space="0" w:color="auto"/>
        <w:right w:val="none" w:sz="0" w:space="0" w:color="auto"/>
      </w:divBdr>
    </w:div>
    <w:div w:id="1762724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gister.awmf.org/de/leitlinien/detail/002-046" TargetMode="External"/><Relationship Id="rId5" Type="http://schemas.openxmlformats.org/officeDocument/2006/relationships/hyperlink" Target="https://doi.org/10.25368/2025.36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New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6350" cap="flat" cmpd="sng" algn="ctr"/>
        <a:ln w="12700" cap="flat" cmpd="sng" algn="ctr"/>
        <a:ln w="19050" cap="flat" cmpd="sng" algn="ctr"/>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914</Words>
  <Characters>5763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Prel, Jean-Baptist</dc:creator>
  <dc:description/>
  <cp:lastModifiedBy>Hegewald, Janice</cp:lastModifiedBy>
  <cp:revision>2</cp:revision>
  <dcterms:created xsi:type="dcterms:W3CDTF">2026-08-27T20:08:00Z</dcterms:created>
  <dcterms:modified xsi:type="dcterms:W3CDTF">2026-08-27T20:08:00Z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e628456b-b18e-4aee-b6d4-3deb98ff79fd</vt:lpwstr>
  </property>
</Properties>
</file>